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A09" w:rsidRPr="00062074" w:rsidRDefault="001D177F" w:rsidP="00062074">
      <w:pPr>
        <w:spacing w:before="120" w:after="120"/>
        <w:ind w:right="145"/>
        <w:rPr>
          <w:rFonts w:ascii="Arial" w:eastAsia="Arial" w:hAnsi="Arial" w:cs="Arial"/>
          <w:sz w:val="20"/>
          <w:szCs w:val="20"/>
        </w:rPr>
      </w:pPr>
      <w:bookmarkStart w:id="0" w:name="_GoBack"/>
      <w:bookmarkEnd w:id="0"/>
      <w:r w:rsidRPr="00062074">
        <w:rPr>
          <w:rFonts w:ascii="Arial"/>
          <w:b/>
          <w:sz w:val="20"/>
        </w:rPr>
        <w:t>July 25, 2018</w:t>
      </w:r>
    </w:p>
    <w:p w:rsidR="00756A09" w:rsidRPr="00062074" w:rsidRDefault="00756A09" w:rsidP="00062074">
      <w:pPr>
        <w:spacing w:before="120" w:after="120"/>
        <w:ind w:right="145"/>
        <w:rPr>
          <w:rFonts w:ascii="Arial" w:eastAsia="Arial" w:hAnsi="Arial" w:cs="Arial"/>
          <w:b/>
          <w:bCs/>
          <w:sz w:val="20"/>
          <w:szCs w:val="20"/>
        </w:rPr>
      </w:pPr>
    </w:p>
    <w:p w:rsidR="00756A09" w:rsidRPr="00062074" w:rsidRDefault="001D177F" w:rsidP="00062074">
      <w:pPr>
        <w:spacing w:before="120" w:after="120"/>
        <w:ind w:right="145"/>
        <w:jc w:val="center"/>
        <w:rPr>
          <w:rFonts w:ascii="Arial" w:eastAsia="Arial" w:hAnsi="Arial" w:cs="Arial"/>
          <w:sz w:val="48"/>
          <w:szCs w:val="48"/>
        </w:rPr>
      </w:pPr>
      <w:r w:rsidRPr="00062074">
        <w:rPr>
          <w:rFonts w:ascii="Arial"/>
          <w:color w:val="000099"/>
          <w:spacing w:val="-1"/>
          <w:sz w:val="48"/>
          <w14:shadow w14:blurRad="50800" w14:dist="38100" w14:dir="2700000" w14:sx="100000" w14:sy="100000" w14:kx="0" w14:ky="0" w14:algn="tl">
            <w14:srgbClr w14:val="000000">
              <w14:alpha w14:val="60000"/>
            </w14:srgbClr>
          </w14:shadow>
        </w:rPr>
        <w:t>Public Policy Observer</w:t>
      </w:r>
    </w:p>
    <w:p w:rsidR="00062074" w:rsidRPr="00062074" w:rsidRDefault="00062074" w:rsidP="00062074">
      <w:pPr>
        <w:spacing w:before="120" w:after="120"/>
        <w:ind w:right="145"/>
        <w:jc w:val="center"/>
        <w:rPr>
          <w:rFonts w:ascii="Arial"/>
          <w:color w:val="000099"/>
          <w:spacing w:val="-1"/>
          <w:sz w:val="48"/>
          <w14:shadow w14:blurRad="50800" w14:dist="38100" w14:dir="2700000" w14:sx="100000" w14:sy="100000" w14:kx="0" w14:ky="0" w14:algn="tl">
            <w14:srgbClr w14:val="000000">
              <w14:alpha w14:val="60000"/>
            </w14:srgbClr>
          </w14:shadow>
        </w:rPr>
      </w:pPr>
      <w:r>
        <w:rPr>
          <w:rFonts w:ascii="Arial"/>
          <w:color w:val="000099"/>
          <w:spacing w:val="-1"/>
          <w:sz w:val="48"/>
          <w14:shadow w14:blurRad="50800" w14:dist="38100" w14:dir="2700000" w14:sx="100000" w14:sy="100000" w14:kx="0" w14:ky="0" w14:algn="tl">
            <w14:srgbClr w14:val="000000">
              <w14:alpha w14:val="60000"/>
            </w14:srgbClr>
          </w14:shadow>
        </w:rPr>
        <w:t xml:space="preserve">Preliminary Note </w:t>
      </w:r>
    </w:p>
    <w:p w:rsidR="00062074" w:rsidRDefault="00062074" w:rsidP="00062074">
      <w:pPr>
        <w:spacing w:before="120" w:after="120"/>
        <w:ind w:right="145"/>
        <w:jc w:val="both"/>
        <w:rPr>
          <w:rFonts w:ascii="Arial" w:hAnsi="Arial"/>
          <w:b/>
          <w:color w:val="000099"/>
          <w:spacing w:val="-10"/>
          <w:sz w:val="28"/>
        </w:rPr>
      </w:pPr>
    </w:p>
    <w:p w:rsidR="00062074" w:rsidRPr="00062074" w:rsidRDefault="00062074" w:rsidP="00062074">
      <w:pPr>
        <w:pBdr>
          <w:top w:val="single" w:sz="4" w:space="1" w:color="auto"/>
          <w:bottom w:val="single" w:sz="4" w:space="1" w:color="auto"/>
        </w:pBdr>
        <w:spacing w:before="120" w:after="120"/>
        <w:ind w:right="145"/>
        <w:jc w:val="both"/>
        <w:rPr>
          <w:rFonts w:ascii="Arial" w:hAnsi="Arial"/>
          <w:b/>
          <w:color w:val="000099"/>
          <w:spacing w:val="-10"/>
          <w:sz w:val="28"/>
        </w:rPr>
      </w:pPr>
      <w:r w:rsidRPr="00062074">
        <w:rPr>
          <w:rFonts w:ascii="Arial" w:hAnsi="Arial"/>
          <w:b/>
          <w:color w:val="000099"/>
          <w:spacing w:val="-10"/>
          <w:sz w:val="28"/>
        </w:rPr>
        <w:t xml:space="preserve">Responsible Sustainable Development Policy </w:t>
      </w:r>
    </w:p>
    <w:p w:rsidR="00062074" w:rsidRPr="00062074" w:rsidRDefault="00062074" w:rsidP="00062074">
      <w:pPr>
        <w:spacing w:before="120" w:after="120"/>
        <w:ind w:right="145"/>
        <w:jc w:val="both"/>
        <w:rPr>
          <w:rFonts w:ascii="Arial" w:hAnsi="Arial" w:cs="Arial"/>
          <w:i/>
          <w:color w:val="000099"/>
          <w:spacing w:val="-10"/>
        </w:rPr>
      </w:pPr>
    </w:p>
    <w:p w:rsidR="00756A09" w:rsidRPr="00062074" w:rsidRDefault="001D177F" w:rsidP="00062074">
      <w:pPr>
        <w:spacing w:before="120" w:after="120"/>
        <w:ind w:right="145"/>
        <w:jc w:val="both"/>
        <w:rPr>
          <w:rFonts w:ascii="Arial" w:eastAsia="Arial" w:hAnsi="Arial" w:cs="Arial"/>
        </w:rPr>
      </w:pPr>
      <w:r w:rsidRPr="00062074">
        <w:rPr>
          <w:rFonts w:ascii="Arial" w:hAnsi="Arial" w:cs="Arial"/>
          <w:i/>
          <w:color w:val="000099"/>
        </w:rPr>
        <w:t>The Public Policy Observer includes the analysis of draft legislation and regulations that are on the agenda of Government and Parliament, which are generally perceived as sensitive, as well as of certain publicly available information, with a view to identify potential risk to the public interest.</w:t>
      </w:r>
    </w:p>
    <w:p w:rsidR="00756A09" w:rsidRPr="00062074" w:rsidRDefault="001D177F" w:rsidP="00062074">
      <w:pPr>
        <w:spacing w:before="120" w:after="120"/>
        <w:ind w:right="145"/>
        <w:jc w:val="both"/>
        <w:rPr>
          <w:rFonts w:ascii="Arial" w:eastAsia="Arial" w:hAnsi="Arial" w:cs="Arial"/>
        </w:rPr>
      </w:pPr>
      <w:r w:rsidRPr="00062074">
        <w:rPr>
          <w:rFonts w:ascii="Arial" w:eastAsia="Arial" w:hAnsi="Arial" w:cs="Arial"/>
          <w:i/>
          <w:color w:val="000099"/>
        </w:rPr>
        <w:t>The Note is published under the project 'Holding Governors Accountable: Civil Society Conducting Economic Expertise of Risky Legal Initiatives', which is financed by the National Endowment for Democracy. The opinions expressed here are the authors' and do not necessarily reflect the viewpoint or the donors.</w:t>
      </w:r>
    </w:p>
    <w:p w:rsidR="00756A09" w:rsidRPr="00062074" w:rsidRDefault="00756A09" w:rsidP="00062074">
      <w:pPr>
        <w:spacing w:before="120" w:after="120"/>
        <w:ind w:right="145"/>
        <w:rPr>
          <w:rFonts w:ascii="Arial" w:eastAsia="Arial" w:hAnsi="Arial" w:cs="Arial"/>
          <w:i/>
        </w:rPr>
      </w:pPr>
    </w:p>
    <w:p w:rsidR="00756A09" w:rsidRPr="00062074" w:rsidRDefault="001D177F" w:rsidP="00062074">
      <w:pPr>
        <w:pStyle w:val="Heading1"/>
        <w:spacing w:before="120" w:after="120"/>
        <w:ind w:left="0" w:right="145"/>
        <w:rPr>
          <w:rFonts w:cs="Arial"/>
          <w:b w:val="0"/>
          <w:bCs w:val="0"/>
          <w:sz w:val="22"/>
          <w:szCs w:val="22"/>
        </w:rPr>
      </w:pPr>
      <w:r w:rsidRPr="00062074">
        <w:rPr>
          <w:rFonts w:cs="Arial"/>
          <w:color w:val="000099"/>
          <w:sz w:val="22"/>
          <w:szCs w:val="22"/>
        </w:rPr>
        <w:t xml:space="preserve">The </w:t>
      </w:r>
      <w:r w:rsidR="00062074" w:rsidRPr="00062074">
        <w:rPr>
          <w:rFonts w:cs="Arial"/>
          <w:color w:val="000099"/>
          <w:sz w:val="22"/>
          <w:szCs w:val="22"/>
        </w:rPr>
        <w:t>N</w:t>
      </w:r>
      <w:r w:rsidRPr="00062074">
        <w:rPr>
          <w:rFonts w:cs="Arial"/>
          <w:color w:val="000099"/>
          <w:sz w:val="22"/>
          <w:szCs w:val="22"/>
        </w:rPr>
        <w:t xml:space="preserve">ew </w:t>
      </w:r>
      <w:r w:rsidR="00062074" w:rsidRPr="00062074">
        <w:rPr>
          <w:rFonts w:cs="Arial"/>
          <w:color w:val="000099"/>
          <w:sz w:val="22"/>
          <w:szCs w:val="22"/>
        </w:rPr>
        <w:t>T</w:t>
      </w:r>
      <w:r w:rsidRPr="00062074">
        <w:rPr>
          <w:rFonts w:cs="Arial"/>
          <w:color w:val="000099"/>
          <w:sz w:val="22"/>
          <w:szCs w:val="22"/>
        </w:rPr>
        <w:t xml:space="preserve">ax </w:t>
      </w:r>
      <w:r w:rsidR="00062074" w:rsidRPr="00062074">
        <w:rPr>
          <w:rFonts w:cs="Arial"/>
          <w:color w:val="000099"/>
          <w:sz w:val="22"/>
          <w:szCs w:val="22"/>
        </w:rPr>
        <w:t>P</w:t>
      </w:r>
      <w:r w:rsidRPr="00062074">
        <w:rPr>
          <w:rFonts w:cs="Arial"/>
          <w:color w:val="000099"/>
          <w:sz w:val="22"/>
          <w:szCs w:val="22"/>
        </w:rPr>
        <w:t xml:space="preserve">olicy </w:t>
      </w:r>
      <w:r w:rsidR="00062074" w:rsidRPr="00062074">
        <w:rPr>
          <w:rFonts w:cs="Arial"/>
          <w:color w:val="000099"/>
          <w:sz w:val="22"/>
          <w:szCs w:val="22"/>
        </w:rPr>
        <w:t>A</w:t>
      </w:r>
      <w:r w:rsidRPr="00062074">
        <w:rPr>
          <w:rFonts w:cs="Arial"/>
          <w:color w:val="000099"/>
          <w:sz w:val="22"/>
          <w:szCs w:val="22"/>
        </w:rPr>
        <w:t xml:space="preserve">nnounced by </w:t>
      </w:r>
      <w:r w:rsidR="00062074" w:rsidRPr="00062074">
        <w:rPr>
          <w:rFonts w:cs="Arial"/>
          <w:color w:val="000099"/>
          <w:sz w:val="22"/>
          <w:szCs w:val="22"/>
        </w:rPr>
        <w:t>A</w:t>
      </w:r>
      <w:r w:rsidRPr="00062074">
        <w:rPr>
          <w:rFonts w:cs="Arial"/>
          <w:color w:val="000099"/>
          <w:sz w:val="22"/>
          <w:szCs w:val="22"/>
        </w:rPr>
        <w:t xml:space="preserve">uthorities: </w:t>
      </w:r>
      <w:r w:rsidR="00062074" w:rsidRPr="00062074">
        <w:rPr>
          <w:rFonts w:cs="Arial"/>
          <w:color w:val="000099"/>
          <w:sz w:val="22"/>
          <w:szCs w:val="22"/>
        </w:rPr>
        <w:t>C</w:t>
      </w:r>
      <w:r w:rsidRPr="00062074">
        <w:rPr>
          <w:rFonts w:cs="Arial"/>
          <w:color w:val="000099"/>
          <w:sz w:val="22"/>
          <w:szCs w:val="22"/>
        </w:rPr>
        <w:t xml:space="preserve">hallenges and </w:t>
      </w:r>
      <w:r w:rsidR="00062074" w:rsidRPr="00062074">
        <w:rPr>
          <w:rFonts w:cs="Arial"/>
          <w:color w:val="000099"/>
          <w:sz w:val="22"/>
          <w:szCs w:val="22"/>
        </w:rPr>
        <w:t>R</w:t>
      </w:r>
      <w:r w:rsidRPr="00062074">
        <w:rPr>
          <w:rFonts w:cs="Arial"/>
          <w:color w:val="000099"/>
          <w:sz w:val="22"/>
          <w:szCs w:val="22"/>
        </w:rPr>
        <w:t>isks</w:t>
      </w:r>
    </w:p>
    <w:p w:rsidR="00756A09" w:rsidRPr="00062074" w:rsidRDefault="001D177F" w:rsidP="00062074">
      <w:pPr>
        <w:pStyle w:val="BodyText"/>
        <w:spacing w:before="120" w:after="120"/>
        <w:ind w:left="0" w:right="145" w:firstLine="0"/>
        <w:jc w:val="both"/>
        <w:rPr>
          <w:rFonts w:cs="Arial"/>
        </w:rPr>
      </w:pPr>
      <w:r w:rsidRPr="00062074">
        <w:rPr>
          <w:rFonts w:cs="Arial"/>
        </w:rPr>
        <w:t>On July 23, 2018 several statements were made at the headquarters of the current ruling party. A 'tax revolution' was announced, and three key directions were traced:</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'capital amnesty', i.e. legalization of assets and capital,</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decriminalization of economic offenses, and</w:t>
      </w:r>
    </w:p>
    <w:p w:rsidR="00062074" w:rsidRPr="00062074" w:rsidRDefault="001D177F" w:rsidP="00062074">
      <w:pPr>
        <w:pStyle w:val="ListBullet"/>
        <w:spacing w:before="120" w:after="120"/>
        <w:contextualSpacing w:val="0"/>
        <w:rPr>
          <w:rFonts w:ascii="Arial" w:hAnsi="Arial" w:cs="Arial"/>
        </w:rPr>
      </w:pPr>
      <w:r w:rsidRPr="00062074">
        <w:rPr>
          <w:rFonts w:ascii="Arial" w:hAnsi="Arial" w:cs="Arial"/>
        </w:rPr>
        <w:t xml:space="preserve">tax cuts for individuals and legal entities. </w:t>
      </w:r>
    </w:p>
    <w:p w:rsidR="00756A09" w:rsidRPr="00062074" w:rsidRDefault="001D177F" w:rsidP="00062074">
      <w:pPr>
        <w:pStyle w:val="BodyText"/>
        <w:tabs>
          <w:tab w:val="left" w:pos="532"/>
        </w:tabs>
        <w:spacing w:before="120" w:after="120"/>
        <w:ind w:left="0" w:right="145" w:firstLine="0"/>
        <w:jc w:val="both"/>
        <w:rPr>
          <w:rFonts w:cs="Arial"/>
        </w:rPr>
      </w:pPr>
      <w:r w:rsidRPr="00062074">
        <w:rPr>
          <w:rFonts w:cs="Arial"/>
        </w:rPr>
        <w:t xml:space="preserve">This </w:t>
      </w:r>
      <w:r w:rsidRPr="002A7108">
        <w:rPr>
          <w:rFonts w:cs="Arial"/>
          <w:i/>
        </w:rPr>
        <w:t>Note</w:t>
      </w:r>
      <w:r w:rsidRPr="00062074">
        <w:rPr>
          <w:rFonts w:cs="Arial"/>
        </w:rPr>
        <w:t xml:space="preserve"> is meant to review</w:t>
      </w:r>
      <w:r w:rsidR="00062074" w:rsidRPr="00062074">
        <w:rPr>
          <w:rFonts w:cs="Arial"/>
        </w:rPr>
        <w:t xml:space="preserve"> </w:t>
      </w:r>
      <w:r w:rsidRPr="002A7108">
        <w:rPr>
          <w:rFonts w:cs="Arial"/>
          <w:b/>
        </w:rPr>
        <w:t>announced changes in the taxation</w:t>
      </w:r>
      <w:r w:rsidR="00062074" w:rsidRPr="002A7108">
        <w:rPr>
          <w:rFonts w:cs="Arial"/>
          <w:b/>
        </w:rPr>
        <w:t xml:space="preserve"> </w:t>
      </w:r>
      <w:r w:rsidRPr="002A7108">
        <w:rPr>
          <w:rFonts w:cs="Arial"/>
          <w:b/>
        </w:rPr>
        <w:t>of individuals</w:t>
      </w:r>
      <w:r w:rsidRPr="00062074">
        <w:rPr>
          <w:rFonts w:cs="Arial"/>
        </w:rPr>
        <w:t>, particularly the authorities' statements (as no officials acts/drafts are available to the public at the moment):</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 xml:space="preserve">Personal income tax rate cut from 18 percent to 12 percent. </w:t>
      </w:r>
      <w:r w:rsidRPr="002A7108">
        <w:rPr>
          <w:rFonts w:ascii="Arial" w:hAnsi="Arial" w:cs="Arial"/>
          <w:i/>
        </w:rPr>
        <w:t>'It will be possible because we will cut the rate of personal income tax from 18 percent to 12 percent by introducing a flat tax rate'</w:t>
      </w:r>
      <w:r w:rsidRPr="00062074">
        <w:rPr>
          <w:rFonts w:ascii="Arial" w:hAnsi="Arial" w:cs="Arial"/>
        </w:rPr>
        <w:t>;</w:t>
      </w:r>
    </w:p>
    <w:p w:rsidR="00756A09" w:rsidRPr="002A7108" w:rsidRDefault="001D177F" w:rsidP="00062074">
      <w:pPr>
        <w:pStyle w:val="ListBullet"/>
        <w:spacing w:before="120" w:after="120"/>
        <w:contextualSpacing w:val="0"/>
        <w:rPr>
          <w:rFonts w:ascii="Arial" w:hAnsi="Arial" w:cs="Arial"/>
          <w:i/>
        </w:rPr>
      </w:pPr>
      <w:r w:rsidRPr="00062074">
        <w:rPr>
          <w:rFonts w:ascii="Arial" w:hAnsi="Arial" w:cs="Arial"/>
        </w:rPr>
        <w:t xml:space="preserve">two-fold increase in the yearly PIT exemption - from MDL 11,280 to MDL 24,000, and </w:t>
      </w:r>
      <w:r w:rsidRPr="002A7108">
        <w:rPr>
          <w:rFonts w:ascii="Arial" w:hAnsi="Arial" w:cs="Arial"/>
          <w:i/>
        </w:rPr>
        <w:t>'</w:t>
      </w:r>
      <w:r w:rsidR="002A7108">
        <w:rPr>
          <w:rFonts w:ascii="Arial" w:hAnsi="Arial" w:cs="Arial"/>
          <w:i/>
        </w:rPr>
        <w:t>T</w:t>
      </w:r>
      <w:r w:rsidRPr="002A7108">
        <w:rPr>
          <w:rFonts w:ascii="Arial" w:hAnsi="Arial" w:cs="Arial"/>
          <w:i/>
        </w:rPr>
        <w:t>hose whose monthly wage is below MDL 3,500 will pay not taxes'. 'Those whose wage is below the subsistence level will no longer be taxed. The measures we are talking about will result in higher income for employees (by 6 percent) and employees (by 5 percent). people will end up with more money in their pockets and we count on more revenue to the national budget';</w:t>
      </w:r>
    </w:p>
    <w:p w:rsidR="00756A09" w:rsidRPr="00062074" w:rsidRDefault="001D177F" w:rsidP="00062074">
      <w:pPr>
        <w:pStyle w:val="ListBullet"/>
        <w:spacing w:before="120" w:after="120"/>
        <w:contextualSpacing w:val="0"/>
        <w:rPr>
          <w:rFonts w:ascii="Arial" w:hAnsi="Arial" w:cs="Arial"/>
        </w:rPr>
      </w:pPr>
      <w:r w:rsidRPr="002A7108">
        <w:rPr>
          <w:rFonts w:ascii="Arial" w:hAnsi="Arial" w:cs="Arial"/>
          <w:i/>
        </w:rPr>
        <w:t>'</w:t>
      </w:r>
      <w:r w:rsidR="002A7108" w:rsidRPr="002A7108">
        <w:rPr>
          <w:rFonts w:ascii="Arial" w:hAnsi="Arial" w:cs="Arial"/>
          <w:i/>
        </w:rPr>
        <w:t>W</w:t>
      </w:r>
      <w:r w:rsidRPr="002A7108">
        <w:rPr>
          <w:rFonts w:ascii="Arial" w:hAnsi="Arial" w:cs="Arial"/>
          <w:i/>
        </w:rPr>
        <w:t>e are discussing the new measures with the International Monetary Fund'. 'All reforms, including</w:t>
      </w:r>
      <w:r w:rsidR="00062074" w:rsidRPr="002A7108">
        <w:rPr>
          <w:rFonts w:ascii="Arial" w:hAnsi="Arial" w:cs="Arial"/>
          <w:i/>
        </w:rPr>
        <w:t xml:space="preserve"> </w:t>
      </w:r>
      <w:r w:rsidRPr="002A7108">
        <w:rPr>
          <w:rFonts w:ascii="Arial" w:hAnsi="Arial" w:cs="Arial"/>
          <w:i/>
        </w:rPr>
        <w:t>these, have been agreed upon with external partners, with the IMF and the World Bank'</w:t>
      </w:r>
      <w:r w:rsidRPr="00062074">
        <w:rPr>
          <w:rFonts w:ascii="Arial" w:hAnsi="Arial" w:cs="Arial"/>
        </w:rPr>
        <w:t>;</w:t>
      </w:r>
    </w:p>
    <w:p w:rsidR="00756A09" w:rsidRPr="002A7108" w:rsidRDefault="001D177F" w:rsidP="00062074">
      <w:pPr>
        <w:pStyle w:val="ListBullet"/>
        <w:spacing w:before="120" w:after="120"/>
        <w:contextualSpacing w:val="0"/>
        <w:rPr>
          <w:rFonts w:ascii="Arial" w:hAnsi="Arial" w:cs="Arial"/>
          <w:i/>
        </w:rPr>
      </w:pPr>
      <w:r w:rsidRPr="002A7108">
        <w:rPr>
          <w:rFonts w:ascii="Arial" w:hAnsi="Arial" w:cs="Arial"/>
          <w:i/>
        </w:rPr>
        <w:t xml:space="preserve">'The reform will be approved until the end of the current Parliament session, i.e. by end of this week. We are talking here about the reform that has been long awaited by the business community. Its impact on the budget would amount to about </w:t>
      </w:r>
      <w:r w:rsidRPr="002A7108">
        <w:rPr>
          <w:rFonts w:ascii="Arial" w:hAnsi="Arial" w:cs="Arial"/>
          <w:b/>
          <w:i/>
        </w:rPr>
        <w:t>MDL 2 billion</w:t>
      </w:r>
      <w:r w:rsidRPr="002A7108">
        <w:rPr>
          <w:rFonts w:ascii="Arial" w:hAnsi="Arial" w:cs="Arial"/>
          <w:i/>
        </w:rPr>
        <w:t xml:space="preserve">. The state budget can </w:t>
      </w:r>
      <w:r w:rsidRPr="002A7108">
        <w:rPr>
          <w:rFonts w:ascii="Arial" w:hAnsi="Arial" w:cs="Arial"/>
          <w:b/>
          <w:i/>
        </w:rPr>
        <w:t>accommodate</w:t>
      </w:r>
      <w:r w:rsidRPr="002A7108">
        <w:rPr>
          <w:rFonts w:ascii="Arial" w:hAnsi="Arial" w:cs="Arial"/>
          <w:i/>
        </w:rPr>
        <w:t xml:space="preserve"> </w:t>
      </w:r>
      <w:r w:rsidRPr="002A7108">
        <w:rPr>
          <w:rFonts w:ascii="Arial" w:hAnsi="Arial" w:cs="Arial"/>
          <w:b/>
          <w:i/>
        </w:rPr>
        <w:t>the</w:t>
      </w:r>
      <w:r w:rsidRPr="002A7108">
        <w:rPr>
          <w:rFonts w:ascii="Arial" w:hAnsi="Arial" w:cs="Arial"/>
          <w:i/>
        </w:rPr>
        <w:t xml:space="preserve"> first-stage </w:t>
      </w:r>
      <w:r w:rsidRPr="002A7108">
        <w:rPr>
          <w:rFonts w:ascii="Arial" w:hAnsi="Arial" w:cs="Arial"/>
          <w:b/>
          <w:i/>
        </w:rPr>
        <w:t>expenditure'</w:t>
      </w:r>
      <w:r w:rsidRPr="002A7108">
        <w:rPr>
          <w:rFonts w:ascii="Arial" w:hAnsi="Arial" w:cs="Arial"/>
          <w:i/>
        </w:rPr>
        <w:t>;</w:t>
      </w:r>
    </w:p>
    <w:p w:rsidR="00756A09" w:rsidRPr="002A7108" w:rsidRDefault="001D177F" w:rsidP="00062074">
      <w:pPr>
        <w:pStyle w:val="ListBullet"/>
        <w:spacing w:before="120" w:after="120"/>
        <w:contextualSpacing w:val="0"/>
        <w:rPr>
          <w:rFonts w:ascii="Arial" w:hAnsi="Arial" w:cs="Arial"/>
          <w:i/>
        </w:rPr>
      </w:pPr>
      <w:r w:rsidRPr="002A7108">
        <w:rPr>
          <w:rFonts w:ascii="Arial" w:hAnsi="Arial" w:cs="Arial"/>
          <w:i/>
        </w:rPr>
        <w:t xml:space="preserve">'Tax measures to be implemented in fall will allow for collecting </w:t>
      </w:r>
      <w:r w:rsidRPr="002A7108">
        <w:rPr>
          <w:rFonts w:ascii="Arial" w:hAnsi="Arial" w:cs="Arial"/>
          <w:b/>
          <w:i/>
        </w:rPr>
        <w:t>revenue of MDL 2 billion</w:t>
      </w:r>
      <w:r w:rsidRPr="002A7108">
        <w:rPr>
          <w:rFonts w:ascii="Arial" w:hAnsi="Arial" w:cs="Arial"/>
          <w:i/>
        </w:rPr>
        <w:t>.'</w:t>
      </w:r>
    </w:p>
    <w:p w:rsidR="00062074" w:rsidRDefault="00062074" w:rsidP="00062074">
      <w:pPr>
        <w:pStyle w:val="Heading1"/>
        <w:spacing w:before="120" w:after="120"/>
        <w:ind w:left="0" w:right="145"/>
        <w:rPr>
          <w:rFonts w:cs="Arial"/>
          <w:color w:val="000099"/>
          <w:sz w:val="22"/>
          <w:szCs w:val="22"/>
        </w:rPr>
      </w:pPr>
    </w:p>
    <w:p w:rsidR="00756A09" w:rsidRPr="00062074" w:rsidRDefault="001D177F" w:rsidP="00062074">
      <w:pPr>
        <w:pStyle w:val="Heading1"/>
        <w:spacing w:before="120" w:after="120"/>
        <w:ind w:left="0" w:right="145"/>
        <w:rPr>
          <w:rFonts w:cs="Arial"/>
          <w:color w:val="000099"/>
          <w:sz w:val="22"/>
          <w:szCs w:val="22"/>
        </w:rPr>
      </w:pPr>
      <w:r w:rsidRPr="00062074">
        <w:rPr>
          <w:rFonts w:cs="Arial"/>
          <w:color w:val="000099"/>
          <w:sz w:val="22"/>
          <w:szCs w:val="22"/>
        </w:rPr>
        <w:lastRenderedPageBreak/>
        <w:t>Identified Challenges and Risk</w:t>
      </w:r>
      <w:r w:rsidR="00062074" w:rsidRPr="00062074">
        <w:rPr>
          <w:rFonts w:cs="Arial"/>
          <w:color w:val="000099"/>
          <w:sz w:val="22"/>
          <w:szCs w:val="22"/>
        </w:rPr>
        <w:t>s</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The statements seem to give the signal that the authors of the initiative see differently the immediate short-term impact of this act. The Prime Minister believes that the budget will get immediate additional revenue of MDL 2 billion, while the Chairman of the Standing Parliamentary Committee expects a budget gap in the same amount due to lower revenue. In this context, it should be noted that such comprehensive legislative initiatives need to include clear impact assessments that can be discussed with the public.</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 xml:space="preserve">The flat personal income tax (12 percent) will be applied by </w:t>
      </w:r>
      <w:r w:rsidRPr="002A7108">
        <w:rPr>
          <w:rFonts w:ascii="Arial" w:hAnsi="Arial" w:cs="Arial"/>
          <w:b/>
        </w:rPr>
        <w:t>cutting the maximal PIT rate</w:t>
      </w:r>
      <w:r w:rsidRPr="00062074">
        <w:rPr>
          <w:rFonts w:ascii="Arial" w:hAnsi="Arial" w:cs="Arial"/>
        </w:rPr>
        <w:t xml:space="preserve"> from 18 percent to 12 percent and </w:t>
      </w:r>
      <w:r w:rsidRPr="002A7108">
        <w:rPr>
          <w:rFonts w:ascii="Arial" w:hAnsi="Arial" w:cs="Arial"/>
          <w:b/>
        </w:rPr>
        <w:t>increasing the minimal PIT rate</w:t>
      </w:r>
      <w:r w:rsidRPr="00062074">
        <w:rPr>
          <w:rFonts w:ascii="Arial" w:hAnsi="Arial" w:cs="Arial"/>
        </w:rPr>
        <w:t xml:space="preserve"> from 7 percent to 12 percent. The first group of taxpayers are high-wealth individuals. The second group includes individuals will low and medium income levels: the tax rate for this group will go up from 7 percent to 12 percent.</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A compensatory measure for low-income individuals might be the announced two-fold increase of the amount of personal exemption (non-taxable minimum), from MDL 11,280 to MDL 24,000. However, given that in 2018 taxable income up to MDL 30,000 is taxed at the PIT rate of 7 percent, while in future the 12-percent PIT rate will apply to income above MDL 24,000, the impact of the measure is not unequivocal. Individuals with low and medium income would feel an insignificant impact of the increase in personal exemption, while high-wealth individuals will have substantial gains.</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The analysis of the data in the table (see annex: 'Disposable income of individuals: current tax policy vs. the proposed</w:t>
      </w:r>
      <w:r w:rsidR="00062074" w:rsidRPr="00062074">
        <w:rPr>
          <w:rFonts w:ascii="Arial" w:hAnsi="Arial" w:cs="Arial"/>
        </w:rPr>
        <w:t xml:space="preserve"> </w:t>
      </w:r>
      <w:r w:rsidRPr="00062074">
        <w:rPr>
          <w:rFonts w:ascii="Arial" w:hAnsi="Arial" w:cs="Arial"/>
        </w:rPr>
        <w:t>'new tax policy'') shows that for different</w:t>
      </w:r>
      <w:r w:rsidR="00062074" w:rsidRPr="00062074">
        <w:rPr>
          <w:rFonts w:ascii="Arial" w:hAnsi="Arial" w:cs="Arial"/>
        </w:rPr>
        <w:t xml:space="preserve"> </w:t>
      </w:r>
      <w:r w:rsidRPr="00062074">
        <w:rPr>
          <w:rFonts w:ascii="Arial" w:hAnsi="Arial" w:cs="Arial"/>
        </w:rPr>
        <w:t>groups of employees (in agriculture and forestry, education, health care, the financial sector and one example of a high-wealth individual) the use of the new flat PIT rate of 12 percent would look as follows:</w:t>
      </w:r>
    </w:p>
    <w:p w:rsidR="00756A09" w:rsidRPr="00062074" w:rsidRDefault="001D177F" w:rsidP="00062074">
      <w:pPr>
        <w:pStyle w:val="BodyText"/>
        <w:numPr>
          <w:ilvl w:val="0"/>
          <w:numId w:val="7"/>
        </w:numPr>
        <w:tabs>
          <w:tab w:val="left" w:pos="719"/>
        </w:tabs>
        <w:spacing w:before="120" w:after="120"/>
        <w:ind w:right="145"/>
        <w:jc w:val="both"/>
        <w:rPr>
          <w:rFonts w:cs="Arial"/>
        </w:rPr>
      </w:pPr>
      <w:r w:rsidRPr="00062074">
        <w:rPr>
          <w:rFonts w:cs="Arial"/>
        </w:rPr>
        <w:t>tax exemption and lower tax burden mostly for high-wealth individuals, significant increase in their disposable income (from several hundreds to several thousands of MDL);</w:t>
      </w:r>
    </w:p>
    <w:p w:rsidR="00756A09" w:rsidRPr="00062074" w:rsidRDefault="001D177F" w:rsidP="00062074">
      <w:pPr>
        <w:pStyle w:val="BodyText"/>
        <w:numPr>
          <w:ilvl w:val="0"/>
          <w:numId w:val="7"/>
        </w:numPr>
        <w:tabs>
          <w:tab w:val="left" w:pos="719"/>
        </w:tabs>
        <w:spacing w:before="120" w:after="120"/>
        <w:ind w:right="145"/>
        <w:jc w:val="both"/>
        <w:rPr>
          <w:rFonts w:cs="Arial"/>
        </w:rPr>
      </w:pPr>
      <w:r w:rsidRPr="00062074">
        <w:rPr>
          <w:rFonts w:cs="Arial"/>
        </w:rPr>
        <w:t>the 'savings' of individuals with low and medium income would be insignificant and their disposable income would increase only slightly (from several MDL to several tens of MDL);</w:t>
      </w:r>
    </w:p>
    <w:p w:rsidR="00756A09" w:rsidRPr="00062074" w:rsidRDefault="001D177F" w:rsidP="00062074">
      <w:pPr>
        <w:pStyle w:val="BodyText"/>
        <w:numPr>
          <w:ilvl w:val="0"/>
          <w:numId w:val="7"/>
        </w:numPr>
        <w:tabs>
          <w:tab w:val="left" w:pos="719"/>
        </w:tabs>
        <w:spacing w:before="120" w:after="120"/>
        <w:ind w:right="145"/>
        <w:jc w:val="both"/>
        <w:rPr>
          <w:rFonts w:cs="Arial"/>
        </w:rPr>
      </w:pPr>
      <w:r w:rsidRPr="00062074">
        <w:rPr>
          <w:rFonts w:cs="Arial"/>
        </w:rPr>
        <w:t>the gap between the disposable income of the low and medium income group and of high-wealth individuals would widen and tax unfairness would increase. It would be a consequence of the change in the rate of (after-tax) disposable income against (pretax) gross earnings. Thus, the disposable income of individuals with low and medium income would basically remain the same (83-85 percent of gross earnings). High-wealth individuals, however, will gain 3-4 percentage points of disposable income in gross income if compared to the current taxation formula. Hence, the announced increase in income by 6 percent would mostly end up in the pockets of those who have higher income rather than of those with low or medium income;</w:t>
      </w:r>
    </w:p>
    <w:p w:rsidR="00756A09" w:rsidRPr="00062074" w:rsidRDefault="001D177F" w:rsidP="00062074">
      <w:pPr>
        <w:pStyle w:val="BodyText"/>
        <w:numPr>
          <w:ilvl w:val="0"/>
          <w:numId w:val="7"/>
        </w:numPr>
        <w:tabs>
          <w:tab w:val="left" w:pos="719"/>
        </w:tabs>
        <w:spacing w:before="120" w:after="120"/>
        <w:ind w:right="145"/>
        <w:jc w:val="both"/>
        <w:rPr>
          <w:rFonts w:cs="Arial"/>
        </w:rPr>
      </w:pPr>
      <w:r w:rsidRPr="00062074">
        <w:rPr>
          <w:rFonts w:cs="Arial"/>
        </w:rPr>
        <w:t>higher disposable income of high-wealth individuals might lead to higher domestic consumption and inflationary expectations (higher prices), which would affect those who have low income.</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For countries with strong income gaps and obvious poverty, progressive taxation of income of individual is recommended, i.e. different tax rates for different taxpayer groups, as it is now. Flat tax rates are used in large advanced economies that have a significant middle class.</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 xml:space="preserve">PIT revenue is split between the central and local budgets. Hence, lower budget revenue would first of all affect local budgets, at least at the first stage. The authors of the reform initiative did not mention any clear compensatory measures or funds to be provided to local budgets. One might assume that inter-budgetary relations between some local public authorities and the state budget would be channel used to 'ensure loyalty' in regions, as </w:t>
      </w:r>
      <w:r w:rsidRPr="00062074">
        <w:rPr>
          <w:rFonts w:ascii="Arial" w:hAnsi="Arial" w:cs="Arial"/>
        </w:rPr>
        <w:lastRenderedPageBreak/>
        <w:t>already concluded by a number of recent studies.</w:t>
      </w:r>
      <w:r w:rsidR="00062074" w:rsidRPr="00062074">
        <w:rPr>
          <w:rFonts w:ascii="Arial" w:hAnsi="Arial" w:cs="Arial"/>
        </w:rPr>
        <w:footnoteReference w:id="1"/>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Restricting the funding of local authorities, particularly during election periods, is a sensitive matter and would generally ensure 'greater' loyalty' towards central authorities. The local budgets might get about MDL 800 million a year less funding.</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Thus, the immediate burden of the reform would be borne by the state budget. On one hand, local budgets should get compensation equivalent to the amounts lost due to the implementation of the new taxation system. On the other hand, additional funds need to be identified to increase transfers to the social fund, to compensate lower contributions by employers (down from 23 percent to 18 percent) if other measures fail to yield expected outcomes in due time.</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As it was announced that the new provisions would apply since October 2018, the state budget needs to be revised no later than September. Otherwise, the public sector might face financial blockage.</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The state budget would not get in 2018, as planned initially, certain funding from external partners, particularly the EU. The wipe-off of MDL 2 billion more at the initial stage of the reform implies urgent measures to cut budget expenditure or borrow more by end of 2018, which would affect the budget in the years to come.</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The authorities count on inflows from quasi-financial projects, which is not sustainable in the long term. Moreover, some of these projects involve greater state debt and state guarantees rather than greater investment in the real sector that would generate new tax capacity.</w:t>
      </w:r>
    </w:p>
    <w:p w:rsidR="00756A09" w:rsidRPr="00062074" w:rsidRDefault="001D177F" w:rsidP="00062074">
      <w:pPr>
        <w:pStyle w:val="ListBullet"/>
        <w:spacing w:before="120" w:after="120"/>
        <w:contextualSpacing w:val="0"/>
        <w:rPr>
          <w:rFonts w:ascii="Arial" w:hAnsi="Arial" w:cs="Arial"/>
        </w:rPr>
      </w:pPr>
      <w:r w:rsidRPr="00062074">
        <w:rPr>
          <w:rFonts w:ascii="Arial" w:hAnsi="Arial" w:cs="Arial"/>
        </w:rPr>
        <w:t>The IMF-supported program, as well as the authorities' dialog with the IMF might be affected by policies that might undermine the budget setup and the stability of public finance in the long term.</w:t>
      </w:r>
    </w:p>
    <w:p w:rsidR="00756A09" w:rsidRPr="002A7108" w:rsidRDefault="001D177F" w:rsidP="002A7108">
      <w:pPr>
        <w:pStyle w:val="ListBullet"/>
        <w:numPr>
          <w:ilvl w:val="0"/>
          <w:numId w:val="0"/>
        </w:numPr>
        <w:spacing w:before="120" w:after="120"/>
        <w:contextualSpacing w:val="0"/>
        <w:rPr>
          <w:rFonts w:ascii="Arial" w:hAnsi="Arial" w:cs="Arial"/>
          <w:i/>
        </w:rPr>
      </w:pPr>
      <w:r w:rsidRPr="002A7108">
        <w:rPr>
          <w:rFonts w:ascii="Arial" w:hAnsi="Arial" w:cs="Arial"/>
          <w:i/>
        </w:rPr>
        <w:t>In one of the following issues of the Public Policy Observer we will have a look at two other aspects of the tax reform package, namely the capital amnesty and the decriminalization of economic offenses, in a more complex context.</w:t>
      </w:r>
    </w:p>
    <w:p w:rsidR="00062074" w:rsidRDefault="00062074" w:rsidP="00062074">
      <w:pPr>
        <w:spacing w:before="120" w:after="120"/>
        <w:ind w:right="145"/>
        <w:rPr>
          <w:rFonts w:ascii="Arial" w:hAnsi="Arial"/>
          <w:b/>
          <w:i/>
          <w:spacing w:val="-6"/>
        </w:rPr>
      </w:pPr>
      <w:r>
        <w:rPr>
          <w:rFonts w:ascii="Arial" w:hAnsi="Arial"/>
          <w:b/>
          <w:i/>
          <w:spacing w:val="-6"/>
        </w:rPr>
        <w:br w:type="page"/>
      </w:r>
    </w:p>
    <w:p w:rsidR="00756A09" w:rsidRPr="00062074" w:rsidRDefault="001D177F" w:rsidP="00062074">
      <w:pPr>
        <w:spacing w:before="120" w:after="120"/>
        <w:ind w:right="145"/>
        <w:jc w:val="right"/>
        <w:rPr>
          <w:rFonts w:ascii="Arial" w:eastAsia="Arial" w:hAnsi="Arial" w:cs="Arial"/>
        </w:rPr>
      </w:pPr>
      <w:r w:rsidRPr="00062074">
        <w:rPr>
          <w:rFonts w:ascii="Arial" w:hAnsi="Arial"/>
          <w:b/>
          <w:i/>
          <w:spacing w:val="-6"/>
        </w:rPr>
        <w:lastRenderedPageBreak/>
        <w:t xml:space="preserve">Annex </w:t>
      </w:r>
    </w:p>
    <w:p w:rsidR="00756A09" w:rsidRPr="00062074" w:rsidRDefault="00756A09" w:rsidP="00062074">
      <w:pPr>
        <w:spacing w:before="120" w:after="120"/>
        <w:ind w:right="145"/>
        <w:rPr>
          <w:rFonts w:ascii="Arial" w:eastAsia="Arial" w:hAnsi="Arial" w:cs="Arial"/>
          <w:b/>
          <w:bCs/>
          <w:i/>
          <w:sz w:val="3"/>
          <w:szCs w:val="3"/>
        </w:rPr>
      </w:pPr>
    </w:p>
    <w:tbl>
      <w:tblPr>
        <w:tblW w:w="0" w:type="auto"/>
        <w:tblCellMar>
          <w:left w:w="0" w:type="dxa"/>
          <w:right w:w="0" w:type="dxa"/>
        </w:tblCellMar>
        <w:tblLook w:val="01E0" w:firstRow="1" w:lastRow="1" w:firstColumn="1" w:lastColumn="1" w:noHBand="0" w:noVBand="0"/>
      </w:tblPr>
      <w:tblGrid>
        <w:gridCol w:w="1998"/>
        <w:gridCol w:w="1080"/>
        <w:gridCol w:w="1429"/>
        <w:gridCol w:w="972"/>
        <w:gridCol w:w="715"/>
        <w:gridCol w:w="1715"/>
        <w:gridCol w:w="1450"/>
      </w:tblGrid>
      <w:tr w:rsidR="00756A09" w:rsidRPr="00062074" w:rsidTr="002A7108">
        <w:trPr>
          <w:trHeight w:hRule="exact" w:val="632"/>
        </w:trPr>
        <w:tc>
          <w:tcPr>
            <w:tcW w:w="0" w:type="auto"/>
            <w:gridSpan w:val="7"/>
            <w:tcBorders>
              <w:top w:val="nil"/>
              <w:left w:val="nil"/>
              <w:bottom w:val="single" w:sz="8" w:space="0" w:color="000000"/>
              <w:right w:val="nil"/>
            </w:tcBorders>
          </w:tcPr>
          <w:p w:rsidR="00756A09" w:rsidRPr="00062074" w:rsidRDefault="001D177F" w:rsidP="00062074">
            <w:pPr>
              <w:pStyle w:val="TableParagraph"/>
              <w:spacing w:before="120" w:after="120"/>
              <w:ind w:right="145"/>
              <w:rPr>
                <w:rFonts w:ascii="Arial" w:eastAsia="Arial" w:hAnsi="Arial" w:cs="Arial"/>
              </w:rPr>
            </w:pPr>
            <w:r w:rsidRPr="00062074">
              <w:rPr>
                <w:rFonts w:ascii="Arial" w:eastAsia="Arial" w:hAnsi="Arial" w:cs="Arial"/>
                <w:b/>
                <w:bCs/>
                <w:spacing w:val="-7"/>
              </w:rPr>
              <w:t xml:space="preserve">Disposable income of individuals: current tax policy vs. the proposed 'new tax policy' </w:t>
            </w:r>
          </w:p>
        </w:tc>
      </w:tr>
      <w:tr w:rsidR="002A7108" w:rsidRPr="00062074" w:rsidTr="002A7108">
        <w:tc>
          <w:tcPr>
            <w:tcW w:w="0" w:type="auto"/>
            <w:tcBorders>
              <w:top w:val="single" w:sz="8" w:space="0" w:color="000000"/>
              <w:left w:val="single" w:sz="8" w:space="0" w:color="000000"/>
              <w:bottom w:val="single" w:sz="8" w:space="0" w:color="000000"/>
              <w:right w:val="nil"/>
            </w:tcBorders>
          </w:tcPr>
          <w:p w:rsidR="00756A09" w:rsidRPr="00062074" w:rsidRDefault="00756A09" w:rsidP="002A7108">
            <w:pPr>
              <w:ind w:right="145"/>
              <w:jc w:val="center"/>
            </w:pPr>
          </w:p>
        </w:tc>
        <w:tc>
          <w:tcPr>
            <w:tcW w:w="0" w:type="auto"/>
            <w:tcBorders>
              <w:top w:val="single" w:sz="8" w:space="0" w:color="000000"/>
              <w:left w:val="nil"/>
              <w:bottom w:val="single" w:sz="8" w:space="0" w:color="000000"/>
              <w:right w:val="nil"/>
            </w:tcBorders>
          </w:tcPr>
          <w:p w:rsidR="00756A09" w:rsidRPr="00062074" w:rsidRDefault="00756A09" w:rsidP="002A7108">
            <w:pPr>
              <w:ind w:right="145"/>
              <w:jc w:val="center"/>
            </w:pPr>
          </w:p>
        </w:tc>
        <w:tc>
          <w:tcPr>
            <w:tcW w:w="0" w:type="auto"/>
            <w:tcBorders>
              <w:top w:val="single" w:sz="8" w:space="0" w:color="000000"/>
              <w:left w:val="nil"/>
              <w:bottom w:val="single" w:sz="8" w:space="0" w:color="000000"/>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hAnsi="Arial"/>
                <w:spacing w:val="-7"/>
                <w:sz w:val="20"/>
              </w:rPr>
              <w:t>Agriculture and Forestry</w:t>
            </w:r>
          </w:p>
        </w:tc>
        <w:tc>
          <w:tcPr>
            <w:tcW w:w="0" w:type="auto"/>
            <w:tcBorders>
              <w:top w:val="single" w:sz="8" w:space="0" w:color="000000"/>
              <w:left w:val="nil"/>
              <w:bottom w:val="single" w:sz="8" w:space="0" w:color="000000"/>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hAnsi="Arial"/>
                <w:spacing w:val="-7"/>
                <w:sz w:val="20"/>
              </w:rPr>
              <w:t>Education</w:t>
            </w:r>
          </w:p>
        </w:tc>
        <w:tc>
          <w:tcPr>
            <w:tcW w:w="0" w:type="auto"/>
            <w:tcBorders>
              <w:top w:val="single" w:sz="8" w:space="0" w:color="000000"/>
              <w:left w:val="nil"/>
              <w:bottom w:val="single" w:sz="8" w:space="0" w:color="000000"/>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hAnsi="Arial"/>
                <w:spacing w:val="-7"/>
                <w:sz w:val="20"/>
              </w:rPr>
              <w:t>Health</w:t>
            </w:r>
          </w:p>
        </w:tc>
        <w:tc>
          <w:tcPr>
            <w:tcW w:w="0" w:type="auto"/>
            <w:tcBorders>
              <w:top w:val="single" w:sz="8" w:space="0" w:color="000000"/>
              <w:left w:val="nil"/>
              <w:bottom w:val="single" w:sz="8" w:space="0" w:color="000000"/>
              <w:right w:val="nil"/>
            </w:tcBorders>
          </w:tcPr>
          <w:p w:rsidR="00756A09" w:rsidRPr="00062074" w:rsidRDefault="001D177F" w:rsidP="002A7108">
            <w:pPr>
              <w:pStyle w:val="TableParagraph"/>
              <w:ind w:right="145" w:hanging="1"/>
              <w:jc w:val="center"/>
              <w:rPr>
                <w:rFonts w:ascii="Arial" w:eastAsia="Arial" w:hAnsi="Arial" w:cs="Arial"/>
                <w:sz w:val="20"/>
                <w:szCs w:val="20"/>
              </w:rPr>
            </w:pPr>
            <w:r w:rsidRPr="00062074">
              <w:rPr>
                <w:rFonts w:ascii="Arial" w:hAnsi="Arial"/>
                <w:spacing w:val="-7"/>
                <w:sz w:val="20"/>
              </w:rPr>
              <w:t>Financial Activities and Insurance</w:t>
            </w:r>
          </w:p>
        </w:tc>
        <w:tc>
          <w:tcPr>
            <w:tcW w:w="0" w:type="auto"/>
            <w:tcBorders>
              <w:top w:val="single" w:sz="8" w:space="0" w:color="000000"/>
              <w:left w:val="nil"/>
              <w:bottom w:val="single" w:sz="8" w:space="0" w:color="000000"/>
              <w:right w:val="single" w:sz="8" w:space="0" w:color="000000"/>
            </w:tcBorders>
          </w:tcPr>
          <w:p w:rsidR="00756A09" w:rsidRPr="00062074" w:rsidRDefault="001D177F" w:rsidP="002A7108">
            <w:pPr>
              <w:pStyle w:val="TableParagraph"/>
              <w:ind w:right="145" w:hanging="3"/>
              <w:jc w:val="center"/>
              <w:rPr>
                <w:rFonts w:ascii="Arial" w:eastAsia="Arial" w:hAnsi="Arial" w:cs="Arial"/>
                <w:sz w:val="20"/>
                <w:szCs w:val="20"/>
              </w:rPr>
            </w:pPr>
            <w:r w:rsidRPr="00062074">
              <w:rPr>
                <w:rFonts w:ascii="Arial"/>
                <w:spacing w:val="-5"/>
                <w:sz w:val="20"/>
              </w:rPr>
              <w:t>Case Study: high-wealth**</w:t>
            </w:r>
          </w:p>
        </w:tc>
      </w:tr>
      <w:tr w:rsidR="002A7108" w:rsidRPr="00062074" w:rsidTr="002A7108">
        <w:tc>
          <w:tcPr>
            <w:tcW w:w="0" w:type="auto"/>
            <w:tcBorders>
              <w:top w:val="single" w:sz="8" w:space="0" w:color="000000"/>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Average monthly wage, Q1 2018*</w:t>
            </w:r>
          </w:p>
        </w:tc>
        <w:tc>
          <w:tcPr>
            <w:tcW w:w="0" w:type="auto"/>
            <w:tcBorders>
              <w:top w:val="single" w:sz="8" w:space="0" w:color="000000"/>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3,713</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4,680</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5,477</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11,263</w:t>
            </w:r>
          </w:p>
        </w:tc>
        <w:tc>
          <w:tcPr>
            <w:tcW w:w="0" w:type="auto"/>
            <w:tcBorders>
              <w:top w:val="single" w:sz="8" w:space="0" w:color="000000"/>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41,667</w:t>
            </w:r>
          </w:p>
        </w:tc>
      </w:tr>
      <w:tr w:rsidR="002A7108" w:rsidRPr="00062074" w:rsidTr="002A7108">
        <w:tc>
          <w:tcPr>
            <w:tcW w:w="0" w:type="auto"/>
            <w:tcBorders>
              <w:top w:val="nil"/>
              <w:left w:val="single" w:sz="8" w:space="0" w:color="000000"/>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Yearly Income</w:t>
            </w:r>
          </w:p>
        </w:tc>
        <w:tc>
          <w:tcPr>
            <w:tcW w:w="0" w:type="auto"/>
            <w:tcBorders>
              <w:top w:val="nil"/>
              <w:left w:val="nil"/>
              <w:bottom w:val="single" w:sz="8" w:space="0" w:color="000000"/>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44,556</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56,160</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65,724</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135,156</w:t>
            </w:r>
          </w:p>
        </w:tc>
        <w:tc>
          <w:tcPr>
            <w:tcW w:w="0" w:type="auto"/>
            <w:tcBorders>
              <w:top w:val="nil"/>
              <w:left w:val="nil"/>
              <w:bottom w:val="single" w:sz="8" w:space="0" w:color="000000"/>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500,000</w:t>
            </w:r>
          </w:p>
        </w:tc>
      </w:tr>
      <w:tr w:rsidR="00756A09" w:rsidRPr="00062074" w:rsidTr="002A7108">
        <w:tc>
          <w:tcPr>
            <w:tcW w:w="0" w:type="auto"/>
            <w:gridSpan w:val="7"/>
            <w:tcBorders>
              <w:top w:val="single" w:sz="8" w:space="0" w:color="000000"/>
              <w:left w:val="single" w:sz="8" w:space="0" w:color="000000"/>
              <w:bottom w:val="single" w:sz="8" w:space="0" w:color="000000"/>
              <w:right w:val="single" w:sz="8" w:space="0" w:color="000000"/>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hAnsi="Arial"/>
                <w:b/>
                <w:spacing w:val="-5"/>
                <w:sz w:val="20"/>
              </w:rPr>
              <w:t>current tax policy</w:t>
            </w:r>
          </w:p>
        </w:tc>
      </w:tr>
      <w:tr w:rsidR="002A7108" w:rsidRPr="00062074" w:rsidTr="002A7108">
        <w:tc>
          <w:tcPr>
            <w:tcW w:w="0" w:type="auto"/>
            <w:tcBorders>
              <w:top w:val="single" w:sz="8" w:space="0" w:color="000000"/>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spacing w:val="-7"/>
                <w:sz w:val="20"/>
              </w:rPr>
              <w:t>individual social contributions</w:t>
            </w:r>
          </w:p>
        </w:tc>
        <w:tc>
          <w:tcPr>
            <w:tcW w:w="0" w:type="auto"/>
            <w:tcBorders>
              <w:top w:val="single" w:sz="8" w:space="0" w:color="000000"/>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9"/>
                <w:sz w:val="20"/>
              </w:rPr>
              <w:t>6%</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2,673</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3,370</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3,943</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8,109</w:t>
            </w:r>
          </w:p>
        </w:tc>
        <w:tc>
          <w:tcPr>
            <w:tcW w:w="0" w:type="auto"/>
            <w:tcBorders>
              <w:top w:val="single" w:sz="8" w:space="0" w:color="000000"/>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30,000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spacing w:val="-7"/>
                <w:sz w:val="20"/>
              </w:rPr>
              <w:t>Health insurance</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6"/>
                <w:sz w:val="20"/>
              </w:rPr>
              <w:t>4.5%</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2,005</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2,527</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2,958</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6,082</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22,500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Personal exemptions</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11,280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11,280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11,280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11,280</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11,280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spacing w:val="-7"/>
                <w:sz w:val="20"/>
              </w:rPr>
              <w:t>Taxable income</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28,598</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38,983</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47,543</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109,685</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436,220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Yearly income tax, 7%</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2,002</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2,310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2,310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2,310</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2,310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Yearly income tax, 18%</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z w:val="20"/>
              </w:rPr>
              <w:t>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1,077</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2,618</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13,803</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72,580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C00000"/>
                <w:spacing w:val="-6"/>
                <w:sz w:val="20"/>
              </w:rPr>
              <w:t>Total yearly income tax</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b/>
                <w:color w:val="FF0000"/>
                <w:spacing w:val="-6"/>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6"/>
                <w:sz w:val="20"/>
              </w:rPr>
              <w:t>2,002</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6"/>
                <w:sz w:val="20"/>
              </w:rPr>
              <w:t>3,387</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6"/>
                <w:sz w:val="20"/>
              </w:rPr>
              <w:t>4,928</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7"/>
                <w:sz w:val="20"/>
              </w:rPr>
              <w:t>16,113</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7"/>
                <w:sz w:val="20"/>
              </w:rPr>
              <w:t>74,890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Monthly income tax</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167</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7"/>
                <w:sz w:val="20"/>
              </w:rPr>
              <w:t>282</w:t>
            </w:r>
          </w:p>
        </w:tc>
        <w:tc>
          <w:tcPr>
            <w:tcW w:w="0" w:type="auto"/>
            <w:tcBorders>
              <w:top w:val="nil"/>
              <w:left w:val="nil"/>
              <w:bottom w:val="nil"/>
              <w:right w:val="nil"/>
            </w:tcBorders>
          </w:tcPr>
          <w:p w:rsidR="00756A09" w:rsidRPr="00062074" w:rsidRDefault="002A7108" w:rsidP="002A7108">
            <w:pPr>
              <w:pStyle w:val="TableParagraph"/>
              <w:ind w:right="145"/>
              <w:rPr>
                <w:rFonts w:ascii="Arial" w:eastAsia="Arial" w:hAnsi="Arial" w:cs="Arial"/>
                <w:sz w:val="20"/>
                <w:szCs w:val="20"/>
              </w:rPr>
            </w:pPr>
            <w:r>
              <w:rPr>
                <w:rFonts w:ascii="Arial"/>
                <w:spacing w:val="-7"/>
                <w:sz w:val="20"/>
              </w:rPr>
              <w:t>411</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1,343</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6,241</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b/>
                <w:spacing w:val="-7"/>
                <w:sz w:val="20"/>
              </w:rPr>
              <w:t>Available monthly income (post-tax)</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3,156</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3,906</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4,491</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8,738</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31,051</w:t>
            </w:r>
          </w:p>
        </w:tc>
      </w:tr>
      <w:tr w:rsidR="002A7108" w:rsidRPr="00062074" w:rsidTr="002A7108">
        <w:tc>
          <w:tcPr>
            <w:tcW w:w="0" w:type="auto"/>
            <w:tcBorders>
              <w:top w:val="nil"/>
              <w:left w:val="single" w:sz="8" w:space="0" w:color="000000"/>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b/>
                <w:color w:val="3366FF"/>
                <w:spacing w:val="-7"/>
                <w:sz w:val="20"/>
              </w:rPr>
              <w:t>Available monthly income (post-tax)</w:t>
            </w:r>
          </w:p>
        </w:tc>
        <w:tc>
          <w:tcPr>
            <w:tcW w:w="0" w:type="auto"/>
            <w:tcBorders>
              <w:top w:val="nil"/>
              <w:left w:val="nil"/>
              <w:bottom w:val="single" w:sz="8" w:space="0" w:color="000000"/>
              <w:right w:val="nil"/>
            </w:tcBorders>
          </w:tcPr>
          <w:p w:rsidR="00756A09" w:rsidRPr="00062074" w:rsidRDefault="001D177F" w:rsidP="002A7108">
            <w:pPr>
              <w:pStyle w:val="TableParagraph"/>
              <w:ind w:right="145" w:hanging="15"/>
              <w:jc w:val="center"/>
              <w:rPr>
                <w:rFonts w:ascii="Arial" w:eastAsia="Arial" w:hAnsi="Arial" w:cs="Arial"/>
                <w:sz w:val="20"/>
                <w:szCs w:val="20"/>
              </w:rPr>
            </w:pPr>
            <w:r w:rsidRPr="00062074">
              <w:rPr>
                <w:rFonts w:ascii="Arial"/>
                <w:b/>
                <w:color w:val="3366FF"/>
                <w:sz w:val="20"/>
              </w:rPr>
              <w:t xml:space="preserve">% </w:t>
            </w:r>
            <w:r w:rsidR="002A7108">
              <w:rPr>
                <w:rFonts w:ascii="Arial"/>
                <w:b/>
                <w:color w:val="3366FF"/>
                <w:sz w:val="16"/>
              </w:rPr>
              <w:t>of gross i</w:t>
            </w:r>
            <w:r w:rsidRPr="002A7108">
              <w:rPr>
                <w:rFonts w:ascii="Arial"/>
                <w:b/>
                <w:color w:val="3366FF"/>
                <w:sz w:val="16"/>
              </w:rPr>
              <w:t>ncome</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85%</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83%</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82%</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78%</w:t>
            </w:r>
          </w:p>
        </w:tc>
        <w:tc>
          <w:tcPr>
            <w:tcW w:w="0" w:type="auto"/>
            <w:tcBorders>
              <w:top w:val="nil"/>
              <w:left w:val="nil"/>
              <w:bottom w:val="single" w:sz="8" w:space="0" w:color="000000"/>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75%</w:t>
            </w:r>
          </w:p>
        </w:tc>
      </w:tr>
      <w:tr w:rsidR="00756A09" w:rsidRPr="00062074" w:rsidTr="002A7108">
        <w:tc>
          <w:tcPr>
            <w:tcW w:w="0" w:type="auto"/>
            <w:gridSpan w:val="7"/>
            <w:tcBorders>
              <w:top w:val="single" w:sz="8" w:space="0" w:color="000000"/>
              <w:left w:val="single" w:sz="8" w:space="0" w:color="000000"/>
              <w:bottom w:val="single" w:sz="8" w:space="0" w:color="000000"/>
              <w:right w:val="single" w:sz="8" w:space="0" w:color="000000"/>
            </w:tcBorders>
          </w:tcPr>
          <w:p w:rsidR="00756A09" w:rsidRPr="00062074" w:rsidRDefault="00756A09" w:rsidP="002A7108">
            <w:pPr>
              <w:pStyle w:val="TableParagraph"/>
              <w:ind w:right="145"/>
              <w:rPr>
                <w:rFonts w:ascii="Arial" w:eastAsia="Arial" w:hAnsi="Arial" w:cs="Arial"/>
                <w:b/>
                <w:bCs/>
                <w:i/>
                <w:sz w:val="20"/>
                <w:szCs w:val="20"/>
              </w:rPr>
            </w:pPr>
          </w:p>
          <w:p w:rsidR="00756A09" w:rsidRPr="00062074" w:rsidRDefault="001D177F" w:rsidP="002A7108">
            <w:pPr>
              <w:pStyle w:val="TableParagraph"/>
              <w:ind w:right="145"/>
              <w:jc w:val="center"/>
              <w:rPr>
                <w:rFonts w:ascii="Arial" w:eastAsia="Arial" w:hAnsi="Arial" w:cs="Arial"/>
                <w:sz w:val="20"/>
                <w:szCs w:val="20"/>
              </w:rPr>
            </w:pPr>
            <w:r w:rsidRPr="00062074">
              <w:rPr>
                <w:rFonts w:ascii="Arial" w:hAnsi="Arial"/>
                <w:b/>
                <w:spacing w:val="-5"/>
                <w:sz w:val="20"/>
              </w:rPr>
              <w:t>New tax policy</w:t>
            </w:r>
          </w:p>
        </w:tc>
      </w:tr>
      <w:tr w:rsidR="002A7108" w:rsidRPr="00062074" w:rsidTr="002A7108">
        <w:tc>
          <w:tcPr>
            <w:tcW w:w="0" w:type="auto"/>
            <w:tcBorders>
              <w:top w:val="single" w:sz="8" w:space="0" w:color="000000"/>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spacing w:val="-7"/>
                <w:sz w:val="20"/>
              </w:rPr>
              <w:t>individual social contributions</w:t>
            </w:r>
          </w:p>
        </w:tc>
        <w:tc>
          <w:tcPr>
            <w:tcW w:w="0" w:type="auto"/>
            <w:tcBorders>
              <w:top w:val="single" w:sz="8" w:space="0" w:color="000000"/>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9"/>
                <w:sz w:val="20"/>
              </w:rPr>
              <w:t>6%</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2,673</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3,370</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3,943</w:t>
            </w:r>
          </w:p>
        </w:tc>
        <w:tc>
          <w:tcPr>
            <w:tcW w:w="0" w:type="auto"/>
            <w:tcBorders>
              <w:top w:val="single" w:sz="8" w:space="0" w:color="000000"/>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8,109</w:t>
            </w:r>
          </w:p>
        </w:tc>
        <w:tc>
          <w:tcPr>
            <w:tcW w:w="0" w:type="auto"/>
            <w:tcBorders>
              <w:top w:val="single" w:sz="8" w:space="0" w:color="000000"/>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30,000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spacing w:val="-7"/>
                <w:sz w:val="20"/>
              </w:rPr>
              <w:t>Health insurance</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6"/>
                <w:sz w:val="20"/>
              </w:rPr>
              <w:t>4.5%</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2,005</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2,527</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2,958</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6,082</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22,500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Personal exemptions</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24,000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24,000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24,000</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24,000</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24,000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spacing w:val="-7"/>
                <w:sz w:val="20"/>
              </w:rPr>
              <w:t>Taxable income</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15,878</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26,263</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34,823</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96,965</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423,500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C00000"/>
                <w:spacing w:val="-7"/>
                <w:sz w:val="20"/>
              </w:rPr>
              <w:t>Yearly income tax, 12%</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b/>
                <w:color w:val="FF0000"/>
                <w:spacing w:val="-6"/>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6"/>
                <w:sz w:val="20"/>
              </w:rPr>
              <w:t>1,905</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6"/>
                <w:sz w:val="20"/>
              </w:rPr>
              <w:t>3,152</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6"/>
                <w:sz w:val="20"/>
              </w:rPr>
              <w:t>4,179</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7"/>
                <w:sz w:val="20"/>
              </w:rPr>
              <w:t>11,636</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FF0000"/>
                <w:spacing w:val="-7"/>
                <w:sz w:val="20"/>
              </w:rPr>
              <w:t>50,820</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Monthly income tax</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 xml:space="preserve">159 </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7"/>
                <w:sz w:val="20"/>
              </w:rPr>
              <w:t>263</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348</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7"/>
                <w:sz w:val="20"/>
              </w:rPr>
              <w:t>970</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4,235</w:t>
            </w:r>
          </w:p>
        </w:tc>
      </w:tr>
      <w:tr w:rsidR="002A7108" w:rsidRPr="00062074" w:rsidTr="002A7108">
        <w:tc>
          <w:tcPr>
            <w:tcW w:w="0" w:type="auto"/>
            <w:tcBorders>
              <w:top w:val="nil"/>
              <w:left w:val="single" w:sz="8" w:space="0" w:color="000000"/>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b/>
                <w:spacing w:val="-7"/>
                <w:sz w:val="20"/>
              </w:rPr>
              <w:t>Available monthly income (post-tax)</w:t>
            </w:r>
          </w:p>
        </w:tc>
        <w:tc>
          <w:tcPr>
            <w:tcW w:w="0" w:type="auto"/>
            <w:tcBorders>
              <w:top w:val="nil"/>
              <w:left w:val="nil"/>
              <w:bottom w:val="nil"/>
              <w:right w:val="nil"/>
            </w:tcBorders>
          </w:tcPr>
          <w:p w:rsidR="00756A09" w:rsidRPr="00062074" w:rsidRDefault="001D177F" w:rsidP="002A7108">
            <w:pPr>
              <w:pStyle w:val="TableParagraph"/>
              <w:ind w:right="145"/>
              <w:jc w:val="center"/>
              <w:rPr>
                <w:rFonts w:ascii="Arial" w:eastAsia="Arial" w:hAnsi="Arial" w:cs="Arial"/>
                <w:sz w:val="20"/>
                <w:szCs w:val="20"/>
              </w:rPr>
            </w:pPr>
            <w:r w:rsidRPr="00062074">
              <w:rPr>
                <w:rFonts w:ascii="Arial"/>
                <w:spacing w:val="-5"/>
                <w:sz w:val="20"/>
              </w:rPr>
              <w:t>MDL</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3,164</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3,926</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4,554</w:t>
            </w:r>
          </w:p>
        </w:tc>
        <w:tc>
          <w:tcPr>
            <w:tcW w:w="0" w:type="auto"/>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6"/>
                <w:sz w:val="20"/>
              </w:rPr>
              <w:t>9,111</w:t>
            </w:r>
          </w:p>
        </w:tc>
        <w:tc>
          <w:tcPr>
            <w:tcW w:w="0" w:type="auto"/>
            <w:tcBorders>
              <w:top w:val="nil"/>
              <w:left w:val="nil"/>
              <w:bottom w:val="nil"/>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spacing w:val="-7"/>
                <w:sz w:val="20"/>
              </w:rPr>
              <w:t>33,057</w:t>
            </w:r>
          </w:p>
        </w:tc>
      </w:tr>
      <w:tr w:rsidR="002A7108" w:rsidRPr="00062074" w:rsidTr="002A7108">
        <w:tc>
          <w:tcPr>
            <w:tcW w:w="0" w:type="auto"/>
            <w:tcBorders>
              <w:top w:val="nil"/>
              <w:left w:val="single" w:sz="8" w:space="0" w:color="000000"/>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b/>
                <w:color w:val="3366FF"/>
                <w:spacing w:val="-7"/>
                <w:sz w:val="20"/>
              </w:rPr>
              <w:t>Available monthly income (post-tax)</w:t>
            </w:r>
          </w:p>
        </w:tc>
        <w:tc>
          <w:tcPr>
            <w:tcW w:w="0" w:type="auto"/>
            <w:tcBorders>
              <w:top w:val="nil"/>
              <w:left w:val="nil"/>
              <w:bottom w:val="single" w:sz="8" w:space="0" w:color="000000"/>
              <w:right w:val="nil"/>
            </w:tcBorders>
          </w:tcPr>
          <w:p w:rsidR="00756A09" w:rsidRPr="002A7108" w:rsidRDefault="002A7108" w:rsidP="002A7108">
            <w:pPr>
              <w:pStyle w:val="TableParagraph"/>
              <w:ind w:left="-53" w:right="145"/>
              <w:jc w:val="center"/>
              <w:rPr>
                <w:rFonts w:ascii="Arial" w:eastAsia="Arial" w:hAnsi="Arial" w:cs="Arial"/>
                <w:b/>
                <w:sz w:val="16"/>
                <w:szCs w:val="20"/>
              </w:rPr>
            </w:pPr>
            <w:r>
              <w:rPr>
                <w:rFonts w:ascii="Arial"/>
                <w:b/>
                <w:color w:val="3366FF"/>
                <w:sz w:val="16"/>
              </w:rPr>
              <w:t>% of gross i</w:t>
            </w:r>
            <w:r w:rsidR="001D177F" w:rsidRPr="002A7108">
              <w:rPr>
                <w:rFonts w:ascii="Arial"/>
                <w:b/>
                <w:color w:val="3366FF"/>
                <w:sz w:val="16"/>
              </w:rPr>
              <w:t>ncome</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85%</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84%</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83%</w:t>
            </w:r>
          </w:p>
        </w:tc>
        <w:tc>
          <w:tcPr>
            <w:tcW w:w="0" w:type="auto"/>
            <w:tcBorders>
              <w:top w:val="nil"/>
              <w:left w:val="nil"/>
              <w:bottom w:val="single" w:sz="8" w:space="0" w:color="000000"/>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81%</w:t>
            </w:r>
          </w:p>
        </w:tc>
        <w:tc>
          <w:tcPr>
            <w:tcW w:w="0" w:type="auto"/>
            <w:tcBorders>
              <w:top w:val="nil"/>
              <w:left w:val="nil"/>
              <w:bottom w:val="single" w:sz="8" w:space="0" w:color="000000"/>
              <w:right w:val="single" w:sz="8" w:space="0" w:color="000000"/>
            </w:tcBorders>
          </w:tcPr>
          <w:p w:rsidR="00756A09" w:rsidRPr="00062074" w:rsidRDefault="001D177F" w:rsidP="002A7108">
            <w:pPr>
              <w:pStyle w:val="TableParagraph"/>
              <w:ind w:right="145"/>
              <w:rPr>
                <w:rFonts w:ascii="Arial" w:eastAsia="Arial" w:hAnsi="Arial" w:cs="Arial"/>
                <w:sz w:val="20"/>
                <w:szCs w:val="20"/>
              </w:rPr>
            </w:pPr>
            <w:r w:rsidRPr="00062074">
              <w:rPr>
                <w:rFonts w:ascii="Arial"/>
                <w:b/>
                <w:color w:val="3366FF"/>
                <w:spacing w:val="-7"/>
                <w:sz w:val="20"/>
              </w:rPr>
              <w:t>79%</w:t>
            </w:r>
          </w:p>
        </w:tc>
      </w:tr>
      <w:tr w:rsidR="00756A09" w:rsidRPr="002A7108" w:rsidTr="002A7108">
        <w:trPr>
          <w:trHeight w:hRule="exact" w:val="482"/>
        </w:trPr>
        <w:tc>
          <w:tcPr>
            <w:tcW w:w="0" w:type="auto"/>
            <w:gridSpan w:val="7"/>
            <w:tcBorders>
              <w:top w:val="single" w:sz="8" w:space="0" w:color="000000"/>
              <w:left w:val="nil"/>
              <w:bottom w:val="nil"/>
              <w:right w:val="nil"/>
            </w:tcBorders>
          </w:tcPr>
          <w:p w:rsidR="00756A09" w:rsidRPr="002A7108" w:rsidRDefault="00756A09" w:rsidP="002A7108">
            <w:pPr>
              <w:pStyle w:val="TableParagraph"/>
              <w:ind w:right="145"/>
              <w:rPr>
                <w:rFonts w:ascii="Arial" w:eastAsia="Arial" w:hAnsi="Arial" w:cs="Arial"/>
                <w:b/>
                <w:bCs/>
                <w:i/>
                <w:sz w:val="18"/>
                <w:szCs w:val="20"/>
              </w:rPr>
            </w:pPr>
          </w:p>
          <w:p w:rsidR="00756A09" w:rsidRPr="002A7108" w:rsidRDefault="001D177F" w:rsidP="002A7108">
            <w:pPr>
              <w:pStyle w:val="TableParagraph"/>
              <w:ind w:right="145"/>
              <w:rPr>
                <w:rFonts w:ascii="Arial" w:eastAsia="Arial" w:hAnsi="Arial" w:cs="Arial"/>
                <w:sz w:val="18"/>
                <w:szCs w:val="20"/>
              </w:rPr>
            </w:pPr>
            <w:r w:rsidRPr="002A7108">
              <w:rPr>
                <w:rFonts w:ascii="Arial"/>
                <w:sz w:val="18"/>
              </w:rPr>
              <w:t xml:space="preserve">* - </w:t>
            </w:r>
            <w:hyperlink r:id="rId8" w:history="1">
              <w:r w:rsidR="002A7108" w:rsidRPr="002A7108">
                <w:rPr>
                  <w:rStyle w:val="Hyperlink"/>
                  <w:rFonts w:ascii="Arial"/>
                  <w:sz w:val="18"/>
                </w:rPr>
                <w:t>http://www.statistica.md/category.php?l=ro&amp;idc=452&amp;</w:t>
              </w:r>
            </w:hyperlink>
            <w:r w:rsidR="002A7108" w:rsidRPr="002A7108">
              <w:rPr>
                <w:rFonts w:ascii="Arial"/>
                <w:sz w:val="18"/>
              </w:rPr>
              <w:t xml:space="preserve"> </w:t>
            </w:r>
            <w:hyperlink r:id="rId9"/>
          </w:p>
        </w:tc>
      </w:tr>
      <w:tr w:rsidR="00756A09" w:rsidRPr="002A7108" w:rsidTr="002A7108">
        <w:trPr>
          <w:trHeight w:hRule="exact" w:val="239"/>
        </w:trPr>
        <w:tc>
          <w:tcPr>
            <w:tcW w:w="0" w:type="auto"/>
            <w:gridSpan w:val="7"/>
            <w:tcBorders>
              <w:top w:val="nil"/>
              <w:left w:val="nil"/>
              <w:bottom w:val="nil"/>
              <w:right w:val="nil"/>
            </w:tcBorders>
          </w:tcPr>
          <w:p w:rsidR="00756A09" w:rsidRPr="002A7108" w:rsidRDefault="001D177F" w:rsidP="002A7108">
            <w:pPr>
              <w:pStyle w:val="TableParagraph"/>
              <w:ind w:right="145"/>
              <w:rPr>
                <w:rFonts w:ascii="Arial" w:eastAsia="Arial" w:hAnsi="Arial" w:cs="Arial"/>
                <w:sz w:val="18"/>
                <w:szCs w:val="20"/>
              </w:rPr>
            </w:pPr>
            <w:r w:rsidRPr="002A7108">
              <w:rPr>
                <w:rFonts w:ascii="Arial" w:hAnsi="Arial"/>
                <w:spacing w:val="-3"/>
                <w:sz w:val="18"/>
              </w:rPr>
              <w:t>** - income of heads of agencies, state owned companies etc.</w:t>
            </w:r>
          </w:p>
        </w:tc>
      </w:tr>
      <w:tr w:rsidR="00756A09" w:rsidRPr="00062074" w:rsidTr="002A7108">
        <w:trPr>
          <w:trHeight w:hRule="exact" w:val="277"/>
        </w:trPr>
        <w:tc>
          <w:tcPr>
            <w:tcW w:w="0" w:type="auto"/>
            <w:gridSpan w:val="7"/>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b/>
                <w:spacing w:val="-7"/>
                <w:sz w:val="20"/>
              </w:rPr>
              <w:t xml:space="preserve">Clear loss: </w:t>
            </w:r>
            <w:r w:rsidRPr="002A7108">
              <w:rPr>
                <w:rFonts w:ascii="Arial" w:hAnsi="Arial"/>
                <w:spacing w:val="-7"/>
                <w:sz w:val="20"/>
              </w:rPr>
              <w:t>local budget</w:t>
            </w:r>
            <w:r w:rsidR="002A7108">
              <w:rPr>
                <w:rFonts w:ascii="Arial" w:hAnsi="Arial"/>
                <w:spacing w:val="-7"/>
                <w:sz w:val="20"/>
              </w:rPr>
              <w:t>s</w:t>
            </w:r>
          </w:p>
        </w:tc>
      </w:tr>
      <w:tr w:rsidR="00756A09" w:rsidRPr="00062074" w:rsidTr="002A7108">
        <w:trPr>
          <w:trHeight w:hRule="exact" w:val="316"/>
        </w:trPr>
        <w:tc>
          <w:tcPr>
            <w:tcW w:w="0" w:type="auto"/>
            <w:gridSpan w:val="7"/>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b/>
                <w:spacing w:val="-7"/>
                <w:sz w:val="20"/>
              </w:rPr>
              <w:t xml:space="preserve">Clear gain: </w:t>
            </w:r>
            <w:r w:rsidRPr="002A7108">
              <w:rPr>
                <w:rFonts w:ascii="Arial" w:hAnsi="Arial"/>
                <w:spacing w:val="-7"/>
                <w:sz w:val="20"/>
              </w:rPr>
              <w:t>high-wealth individuals</w:t>
            </w:r>
          </w:p>
        </w:tc>
      </w:tr>
      <w:tr w:rsidR="00756A09" w:rsidRPr="00062074" w:rsidTr="002A7108">
        <w:trPr>
          <w:trHeight w:hRule="exact" w:val="316"/>
        </w:trPr>
        <w:tc>
          <w:tcPr>
            <w:tcW w:w="0" w:type="auto"/>
            <w:gridSpan w:val="7"/>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b/>
                <w:spacing w:val="-5"/>
                <w:sz w:val="20"/>
              </w:rPr>
              <w:t xml:space="preserve">In future, </w:t>
            </w:r>
            <w:r w:rsidRPr="002A7108">
              <w:rPr>
                <w:rFonts w:ascii="Arial" w:hAnsi="Arial"/>
                <w:spacing w:val="-5"/>
                <w:sz w:val="20"/>
              </w:rPr>
              <w:t>the 'new tax policy' will result in:</w:t>
            </w:r>
          </w:p>
        </w:tc>
      </w:tr>
      <w:tr w:rsidR="00756A09" w:rsidRPr="00062074" w:rsidTr="002A7108">
        <w:trPr>
          <w:trHeight w:hRule="exact" w:val="316"/>
        </w:trPr>
        <w:tc>
          <w:tcPr>
            <w:tcW w:w="0" w:type="auto"/>
            <w:gridSpan w:val="7"/>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sz w:val="20"/>
              </w:rPr>
              <w:t>- greater gap between the rich and the poor,</w:t>
            </w:r>
          </w:p>
        </w:tc>
      </w:tr>
      <w:tr w:rsidR="00756A09" w:rsidRPr="00062074" w:rsidTr="002A7108">
        <w:trPr>
          <w:trHeight w:hRule="exact" w:val="317"/>
        </w:trPr>
        <w:tc>
          <w:tcPr>
            <w:tcW w:w="0" w:type="auto"/>
            <w:gridSpan w:val="7"/>
            <w:tcBorders>
              <w:top w:val="nil"/>
              <w:left w:val="nil"/>
              <w:bottom w:val="nil"/>
              <w:right w:val="nil"/>
            </w:tcBorders>
          </w:tcPr>
          <w:p w:rsidR="00756A09" w:rsidRPr="00062074" w:rsidRDefault="001D177F" w:rsidP="002A7108">
            <w:pPr>
              <w:pStyle w:val="TableParagraph"/>
              <w:ind w:right="145"/>
              <w:rPr>
                <w:rFonts w:ascii="Arial" w:eastAsia="Arial" w:hAnsi="Arial" w:cs="Arial"/>
                <w:sz w:val="20"/>
                <w:szCs w:val="20"/>
              </w:rPr>
            </w:pPr>
            <w:r w:rsidRPr="00062074">
              <w:rPr>
                <w:rFonts w:ascii="Arial" w:hAnsi="Arial"/>
                <w:sz w:val="20"/>
              </w:rPr>
              <w:t>- greater dependence of local budgets on the "Central power'</w:t>
            </w:r>
          </w:p>
        </w:tc>
      </w:tr>
    </w:tbl>
    <w:p w:rsidR="00105EFE" w:rsidRPr="00062074" w:rsidRDefault="00105EFE" w:rsidP="00062074">
      <w:pPr>
        <w:spacing w:before="120" w:after="120"/>
      </w:pPr>
    </w:p>
    <w:sectPr w:rsidR="00105EFE" w:rsidRPr="00062074" w:rsidSect="00062074">
      <w:footerReference w:type="default" r:id="rId10"/>
      <w:pgSz w:w="11910" w:h="16840"/>
      <w:pgMar w:top="1134" w:right="850" w:bottom="1134" w:left="1701" w:header="0" w:footer="6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195" w:rsidRDefault="00304195">
      <w:r>
        <w:separator/>
      </w:r>
    </w:p>
  </w:endnote>
  <w:endnote w:type="continuationSeparator" w:id="0">
    <w:p w:rsidR="00304195" w:rsidRDefault="0030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A09" w:rsidRDefault="001D177F">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6939280</wp:posOffset>
              </wp:positionH>
              <wp:positionV relativeFrom="page">
                <wp:posOffset>10116820</wp:posOffset>
              </wp:positionV>
              <wp:extent cx="107950" cy="203835"/>
              <wp:effectExtent l="0" t="127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A09" w:rsidRDefault="001D177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06DED">
                            <w:rPr>
                              <w:rFonts w:ascii="Arial"/>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6.4pt;margin-top:796.6pt;width:8.5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" filled="f" stroked="f">
              <v:textbox inset="0,0,0,0">
                <w:txbxContent>
                  <w:p w:rsidR="00756A09" w:rsidRDefault="001D177F">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006DED">
                      <w:rPr>
                        <w:rFonts w:ascii="Arial"/>
                        <w:noProof/>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195" w:rsidRDefault="00304195">
      <w:r>
        <w:separator/>
      </w:r>
    </w:p>
  </w:footnote>
  <w:footnote w:type="continuationSeparator" w:id="0">
    <w:p w:rsidR="00304195" w:rsidRDefault="00304195">
      <w:r>
        <w:continuationSeparator/>
      </w:r>
    </w:p>
  </w:footnote>
  <w:footnote w:id="1">
    <w:p w:rsidR="00062074" w:rsidRDefault="00062074">
      <w:pPr>
        <w:pStyle w:val="FootnoteText"/>
      </w:pPr>
      <w:r>
        <w:rPr>
          <w:rStyle w:val="FootnoteReference"/>
        </w:rPr>
        <w:footnoteRef/>
      </w:r>
      <w:r>
        <w:t xml:space="preserve"> </w:t>
      </w:r>
      <w:hyperlink r:id="rId1" w:history="1">
        <w:r w:rsidRPr="008606AA">
          <w:rPr>
            <w:rStyle w:val="Hyperlink"/>
          </w:rPr>
          <w:t>http://www.transparency.md/2018/07/18/studiu-monitorizarea-implementarii-reformei-administratiei-publice-si-a-distributiei-resurselor/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8109B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21CE7"/>
    <w:multiLevelType w:val="hybridMultilevel"/>
    <w:tmpl w:val="EBB07F26"/>
    <w:lvl w:ilvl="0" w:tplc="3E64D9CC">
      <w:start w:val="1"/>
      <w:numFmt w:val="bullet"/>
      <w:lvlText w:val="-"/>
      <w:lvlJc w:val="left"/>
      <w:pPr>
        <w:ind w:left="985" w:hanging="272"/>
      </w:pPr>
      <w:rPr>
        <w:rFonts w:ascii="Arial" w:eastAsia="Arial" w:hAnsi="Arial" w:hint="default"/>
        <w:sz w:val="22"/>
        <w:szCs w:val="22"/>
      </w:rPr>
    </w:lvl>
    <w:lvl w:ilvl="1" w:tplc="145A369A">
      <w:start w:val="1"/>
      <w:numFmt w:val="bullet"/>
      <w:lvlText w:val="•"/>
      <w:lvlJc w:val="left"/>
      <w:pPr>
        <w:ind w:left="1459" w:hanging="272"/>
      </w:pPr>
      <w:rPr>
        <w:rFonts w:hint="default"/>
      </w:rPr>
    </w:lvl>
    <w:lvl w:ilvl="2" w:tplc="0E58B940">
      <w:start w:val="1"/>
      <w:numFmt w:val="bullet"/>
      <w:lvlText w:val="•"/>
      <w:lvlJc w:val="left"/>
      <w:pPr>
        <w:ind w:left="1933" w:hanging="272"/>
      </w:pPr>
      <w:rPr>
        <w:rFonts w:hint="default"/>
      </w:rPr>
    </w:lvl>
    <w:lvl w:ilvl="3" w:tplc="64BC0D1C">
      <w:start w:val="1"/>
      <w:numFmt w:val="bullet"/>
      <w:lvlText w:val="•"/>
      <w:lvlJc w:val="left"/>
      <w:pPr>
        <w:ind w:left="2407" w:hanging="272"/>
      </w:pPr>
      <w:rPr>
        <w:rFonts w:hint="default"/>
      </w:rPr>
    </w:lvl>
    <w:lvl w:ilvl="4" w:tplc="60CE4A36">
      <w:start w:val="1"/>
      <w:numFmt w:val="bullet"/>
      <w:lvlText w:val="•"/>
      <w:lvlJc w:val="left"/>
      <w:pPr>
        <w:ind w:left="2881" w:hanging="272"/>
      </w:pPr>
      <w:rPr>
        <w:rFonts w:hint="default"/>
      </w:rPr>
    </w:lvl>
    <w:lvl w:ilvl="5" w:tplc="91944476">
      <w:start w:val="1"/>
      <w:numFmt w:val="bullet"/>
      <w:lvlText w:val="•"/>
      <w:lvlJc w:val="left"/>
      <w:pPr>
        <w:ind w:left="3355" w:hanging="272"/>
      </w:pPr>
      <w:rPr>
        <w:rFonts w:hint="default"/>
      </w:rPr>
    </w:lvl>
    <w:lvl w:ilvl="6" w:tplc="D34213D0">
      <w:start w:val="1"/>
      <w:numFmt w:val="bullet"/>
      <w:lvlText w:val="•"/>
      <w:lvlJc w:val="left"/>
      <w:pPr>
        <w:ind w:left="3829" w:hanging="272"/>
      </w:pPr>
      <w:rPr>
        <w:rFonts w:hint="default"/>
      </w:rPr>
    </w:lvl>
    <w:lvl w:ilvl="7" w:tplc="93824954">
      <w:start w:val="1"/>
      <w:numFmt w:val="bullet"/>
      <w:lvlText w:val="•"/>
      <w:lvlJc w:val="left"/>
      <w:pPr>
        <w:ind w:left="4303" w:hanging="272"/>
      </w:pPr>
      <w:rPr>
        <w:rFonts w:hint="default"/>
      </w:rPr>
    </w:lvl>
    <w:lvl w:ilvl="8" w:tplc="A608055A">
      <w:start w:val="1"/>
      <w:numFmt w:val="bullet"/>
      <w:lvlText w:val="•"/>
      <w:lvlJc w:val="left"/>
      <w:pPr>
        <w:ind w:left="4777" w:hanging="272"/>
      </w:pPr>
      <w:rPr>
        <w:rFonts w:hint="default"/>
      </w:rPr>
    </w:lvl>
  </w:abstractNum>
  <w:abstractNum w:abstractNumId="2" w15:restartNumberingAfterBreak="0">
    <w:nsid w:val="41495710"/>
    <w:multiLevelType w:val="hybridMultilevel"/>
    <w:tmpl w:val="86F4CDAC"/>
    <w:lvl w:ilvl="0" w:tplc="EC02CA62">
      <w:start w:val="1"/>
      <w:numFmt w:val="bullet"/>
      <w:lvlText w:val=""/>
      <w:lvlJc w:val="left"/>
      <w:pPr>
        <w:ind w:left="435" w:hanging="360"/>
      </w:pPr>
      <w:rPr>
        <w:rFonts w:ascii="Symbol" w:eastAsia="Symbol" w:hAnsi="Symbol" w:hint="default"/>
        <w:sz w:val="18"/>
        <w:szCs w:val="18"/>
      </w:rPr>
    </w:lvl>
    <w:lvl w:ilvl="1" w:tplc="87DEEC98">
      <w:start w:val="1"/>
      <w:numFmt w:val="bullet"/>
      <w:lvlText w:val=""/>
      <w:lvlJc w:val="left"/>
      <w:pPr>
        <w:ind w:left="423" w:hanging="272"/>
      </w:pPr>
      <w:rPr>
        <w:rFonts w:ascii="Symbol" w:eastAsia="Symbol" w:hAnsi="Symbol" w:hint="default"/>
        <w:sz w:val="22"/>
        <w:szCs w:val="22"/>
      </w:rPr>
    </w:lvl>
    <w:lvl w:ilvl="2" w:tplc="155CD388">
      <w:start w:val="1"/>
      <w:numFmt w:val="bullet"/>
      <w:lvlText w:val="•"/>
      <w:lvlJc w:val="left"/>
      <w:pPr>
        <w:ind w:left="382" w:hanging="272"/>
      </w:pPr>
      <w:rPr>
        <w:rFonts w:hint="default"/>
      </w:rPr>
    </w:lvl>
    <w:lvl w:ilvl="3" w:tplc="C5E45530">
      <w:start w:val="1"/>
      <w:numFmt w:val="bullet"/>
      <w:lvlText w:val="•"/>
      <w:lvlJc w:val="left"/>
      <w:pPr>
        <w:ind w:left="329" w:hanging="272"/>
      </w:pPr>
      <w:rPr>
        <w:rFonts w:hint="default"/>
      </w:rPr>
    </w:lvl>
    <w:lvl w:ilvl="4" w:tplc="93E2ACDE">
      <w:start w:val="1"/>
      <w:numFmt w:val="bullet"/>
      <w:lvlText w:val="•"/>
      <w:lvlJc w:val="left"/>
      <w:pPr>
        <w:ind w:left="275" w:hanging="272"/>
      </w:pPr>
      <w:rPr>
        <w:rFonts w:hint="default"/>
      </w:rPr>
    </w:lvl>
    <w:lvl w:ilvl="5" w:tplc="4CCEEC5E">
      <w:start w:val="1"/>
      <w:numFmt w:val="bullet"/>
      <w:lvlText w:val="•"/>
      <w:lvlJc w:val="left"/>
      <w:pPr>
        <w:ind w:left="222" w:hanging="272"/>
      </w:pPr>
      <w:rPr>
        <w:rFonts w:hint="default"/>
      </w:rPr>
    </w:lvl>
    <w:lvl w:ilvl="6" w:tplc="6CF09F18">
      <w:start w:val="1"/>
      <w:numFmt w:val="bullet"/>
      <w:lvlText w:val="•"/>
      <w:lvlJc w:val="left"/>
      <w:pPr>
        <w:ind w:left="168" w:hanging="272"/>
      </w:pPr>
      <w:rPr>
        <w:rFonts w:hint="default"/>
      </w:rPr>
    </w:lvl>
    <w:lvl w:ilvl="7" w:tplc="FD3EF124">
      <w:start w:val="1"/>
      <w:numFmt w:val="bullet"/>
      <w:lvlText w:val="•"/>
      <w:lvlJc w:val="left"/>
      <w:pPr>
        <w:ind w:left="115" w:hanging="272"/>
      </w:pPr>
      <w:rPr>
        <w:rFonts w:hint="default"/>
      </w:rPr>
    </w:lvl>
    <w:lvl w:ilvl="8" w:tplc="885C9462">
      <w:start w:val="1"/>
      <w:numFmt w:val="bullet"/>
      <w:lvlText w:val="•"/>
      <w:lvlJc w:val="left"/>
      <w:pPr>
        <w:ind w:left="61" w:hanging="272"/>
      </w:pPr>
      <w:rPr>
        <w:rFonts w:hint="default"/>
      </w:rPr>
    </w:lvl>
  </w:abstractNum>
  <w:abstractNum w:abstractNumId="3" w15:restartNumberingAfterBreak="0">
    <w:nsid w:val="5AA0681F"/>
    <w:multiLevelType w:val="hybridMultilevel"/>
    <w:tmpl w:val="9BB4B366"/>
    <w:lvl w:ilvl="0" w:tplc="DCC4DF36">
      <w:start w:val="1"/>
      <w:numFmt w:val="bullet"/>
      <w:lvlText w:val="–"/>
      <w:lvlJc w:val="left"/>
      <w:pPr>
        <w:ind w:left="718" w:hanging="356"/>
      </w:pPr>
      <w:rPr>
        <w:rFonts w:ascii="Arial" w:eastAsia="Arial" w:hAnsi="Arial" w:hint="default"/>
        <w:b/>
        <w:bCs/>
        <w:sz w:val="18"/>
        <w:szCs w:val="18"/>
      </w:rPr>
    </w:lvl>
    <w:lvl w:ilvl="1" w:tplc="D64C9C54">
      <w:start w:val="1"/>
      <w:numFmt w:val="bullet"/>
      <w:lvlText w:val="•"/>
      <w:lvlJc w:val="left"/>
      <w:pPr>
        <w:ind w:left="1162" w:hanging="356"/>
      </w:pPr>
      <w:rPr>
        <w:rFonts w:hint="default"/>
      </w:rPr>
    </w:lvl>
    <w:lvl w:ilvl="2" w:tplc="D8A03146">
      <w:start w:val="1"/>
      <w:numFmt w:val="bullet"/>
      <w:lvlText w:val="•"/>
      <w:lvlJc w:val="left"/>
      <w:pPr>
        <w:ind w:left="1606" w:hanging="356"/>
      </w:pPr>
      <w:rPr>
        <w:rFonts w:hint="default"/>
      </w:rPr>
    </w:lvl>
    <w:lvl w:ilvl="3" w:tplc="CF0A4D60">
      <w:start w:val="1"/>
      <w:numFmt w:val="bullet"/>
      <w:lvlText w:val="•"/>
      <w:lvlJc w:val="left"/>
      <w:pPr>
        <w:ind w:left="2050" w:hanging="356"/>
      </w:pPr>
      <w:rPr>
        <w:rFonts w:hint="default"/>
      </w:rPr>
    </w:lvl>
    <w:lvl w:ilvl="4" w:tplc="D1068006">
      <w:start w:val="1"/>
      <w:numFmt w:val="bullet"/>
      <w:lvlText w:val="•"/>
      <w:lvlJc w:val="left"/>
      <w:pPr>
        <w:ind w:left="2494" w:hanging="356"/>
      </w:pPr>
      <w:rPr>
        <w:rFonts w:hint="default"/>
      </w:rPr>
    </w:lvl>
    <w:lvl w:ilvl="5" w:tplc="E20C6A5E">
      <w:start w:val="1"/>
      <w:numFmt w:val="bullet"/>
      <w:lvlText w:val="•"/>
      <w:lvlJc w:val="left"/>
      <w:pPr>
        <w:ind w:left="2938" w:hanging="356"/>
      </w:pPr>
      <w:rPr>
        <w:rFonts w:hint="default"/>
      </w:rPr>
    </w:lvl>
    <w:lvl w:ilvl="6" w:tplc="2C007F22">
      <w:start w:val="1"/>
      <w:numFmt w:val="bullet"/>
      <w:lvlText w:val="•"/>
      <w:lvlJc w:val="left"/>
      <w:pPr>
        <w:ind w:left="3382" w:hanging="356"/>
      </w:pPr>
      <w:rPr>
        <w:rFonts w:hint="default"/>
      </w:rPr>
    </w:lvl>
    <w:lvl w:ilvl="7" w:tplc="B9440030">
      <w:start w:val="1"/>
      <w:numFmt w:val="bullet"/>
      <w:lvlText w:val="•"/>
      <w:lvlJc w:val="left"/>
      <w:pPr>
        <w:ind w:left="3826" w:hanging="356"/>
      </w:pPr>
      <w:rPr>
        <w:rFonts w:hint="default"/>
      </w:rPr>
    </w:lvl>
    <w:lvl w:ilvl="8" w:tplc="A182976C">
      <w:start w:val="1"/>
      <w:numFmt w:val="bullet"/>
      <w:lvlText w:val="•"/>
      <w:lvlJc w:val="left"/>
      <w:pPr>
        <w:ind w:left="4270" w:hanging="356"/>
      </w:pPr>
      <w:rPr>
        <w:rFonts w:hint="default"/>
      </w:rPr>
    </w:lvl>
  </w:abstractNum>
  <w:abstractNum w:abstractNumId="4" w15:restartNumberingAfterBreak="0">
    <w:nsid w:val="62594001"/>
    <w:multiLevelType w:val="hybridMultilevel"/>
    <w:tmpl w:val="2B46AB82"/>
    <w:lvl w:ilvl="0" w:tplc="4DA4ED80">
      <w:start w:val="1"/>
      <w:numFmt w:val="bullet"/>
      <w:lvlText w:val="–"/>
      <w:lvlJc w:val="left"/>
      <w:pPr>
        <w:ind w:left="532" w:hanging="360"/>
      </w:pPr>
      <w:rPr>
        <w:rFonts w:ascii="Arial" w:eastAsia="Arial" w:hAnsi="Arial" w:hint="default"/>
        <w:b/>
        <w:bCs/>
        <w:sz w:val="18"/>
        <w:szCs w:val="18"/>
      </w:rPr>
    </w:lvl>
    <w:lvl w:ilvl="1" w:tplc="C54CACB6">
      <w:start w:val="1"/>
      <w:numFmt w:val="bullet"/>
      <w:lvlText w:val="•"/>
      <w:lvlJc w:val="left"/>
      <w:pPr>
        <w:ind w:left="997" w:hanging="360"/>
      </w:pPr>
      <w:rPr>
        <w:rFonts w:hint="default"/>
      </w:rPr>
    </w:lvl>
    <w:lvl w:ilvl="2" w:tplc="568EDC90">
      <w:start w:val="1"/>
      <w:numFmt w:val="bullet"/>
      <w:lvlText w:val="•"/>
      <w:lvlJc w:val="left"/>
      <w:pPr>
        <w:ind w:left="1462" w:hanging="360"/>
      </w:pPr>
      <w:rPr>
        <w:rFonts w:hint="default"/>
      </w:rPr>
    </w:lvl>
    <w:lvl w:ilvl="3" w:tplc="31866C8E">
      <w:start w:val="1"/>
      <w:numFmt w:val="bullet"/>
      <w:lvlText w:val="•"/>
      <w:lvlJc w:val="left"/>
      <w:pPr>
        <w:ind w:left="1927" w:hanging="360"/>
      </w:pPr>
      <w:rPr>
        <w:rFonts w:hint="default"/>
      </w:rPr>
    </w:lvl>
    <w:lvl w:ilvl="4" w:tplc="20FE0DCA">
      <w:start w:val="1"/>
      <w:numFmt w:val="bullet"/>
      <w:lvlText w:val="•"/>
      <w:lvlJc w:val="left"/>
      <w:pPr>
        <w:ind w:left="2392" w:hanging="360"/>
      </w:pPr>
      <w:rPr>
        <w:rFonts w:hint="default"/>
      </w:rPr>
    </w:lvl>
    <w:lvl w:ilvl="5" w:tplc="5C00E194">
      <w:start w:val="1"/>
      <w:numFmt w:val="bullet"/>
      <w:lvlText w:val="•"/>
      <w:lvlJc w:val="left"/>
      <w:pPr>
        <w:ind w:left="2857" w:hanging="360"/>
      </w:pPr>
      <w:rPr>
        <w:rFonts w:hint="default"/>
      </w:rPr>
    </w:lvl>
    <w:lvl w:ilvl="6" w:tplc="9210E776">
      <w:start w:val="1"/>
      <w:numFmt w:val="bullet"/>
      <w:lvlText w:val="•"/>
      <w:lvlJc w:val="left"/>
      <w:pPr>
        <w:ind w:left="3322" w:hanging="360"/>
      </w:pPr>
      <w:rPr>
        <w:rFonts w:hint="default"/>
      </w:rPr>
    </w:lvl>
    <w:lvl w:ilvl="7" w:tplc="3510EF2A">
      <w:start w:val="1"/>
      <w:numFmt w:val="bullet"/>
      <w:lvlText w:val="•"/>
      <w:lvlJc w:val="left"/>
      <w:pPr>
        <w:ind w:left="3788" w:hanging="360"/>
      </w:pPr>
      <w:rPr>
        <w:rFonts w:hint="default"/>
      </w:rPr>
    </w:lvl>
    <w:lvl w:ilvl="8" w:tplc="C3788A36">
      <w:start w:val="1"/>
      <w:numFmt w:val="bullet"/>
      <w:lvlText w:val="•"/>
      <w:lvlJc w:val="left"/>
      <w:pPr>
        <w:ind w:left="4253" w:hanging="360"/>
      </w:pPr>
      <w:rPr>
        <w:rFonts w:hint="default"/>
      </w:rPr>
    </w:lvl>
  </w:abstractNum>
  <w:abstractNum w:abstractNumId="5" w15:restartNumberingAfterBreak="0">
    <w:nsid w:val="6CD906C5"/>
    <w:multiLevelType w:val="hybridMultilevel"/>
    <w:tmpl w:val="D83AD8A4"/>
    <w:lvl w:ilvl="0" w:tplc="AC48F452">
      <w:start w:val="1"/>
      <w:numFmt w:val="bullet"/>
      <w:lvlText w:val=""/>
      <w:lvlJc w:val="left"/>
      <w:pPr>
        <w:ind w:left="423" w:hanging="272"/>
      </w:pPr>
      <w:rPr>
        <w:rFonts w:ascii="Symbol" w:eastAsia="Symbol" w:hAnsi="Symbol" w:hint="default"/>
        <w:sz w:val="22"/>
        <w:szCs w:val="22"/>
      </w:rPr>
    </w:lvl>
    <w:lvl w:ilvl="1" w:tplc="A6C6824E">
      <w:start w:val="1"/>
      <w:numFmt w:val="bullet"/>
      <w:lvlText w:val="•"/>
      <w:lvlJc w:val="left"/>
      <w:pPr>
        <w:ind w:left="927" w:hanging="272"/>
      </w:pPr>
      <w:rPr>
        <w:rFonts w:hint="default"/>
      </w:rPr>
    </w:lvl>
    <w:lvl w:ilvl="2" w:tplc="8340ABF2">
      <w:start w:val="1"/>
      <w:numFmt w:val="bullet"/>
      <w:lvlText w:val="•"/>
      <w:lvlJc w:val="left"/>
      <w:pPr>
        <w:ind w:left="1431" w:hanging="272"/>
      </w:pPr>
      <w:rPr>
        <w:rFonts w:hint="default"/>
      </w:rPr>
    </w:lvl>
    <w:lvl w:ilvl="3" w:tplc="F80690AE">
      <w:start w:val="1"/>
      <w:numFmt w:val="bullet"/>
      <w:lvlText w:val="•"/>
      <w:lvlJc w:val="left"/>
      <w:pPr>
        <w:ind w:left="1934" w:hanging="272"/>
      </w:pPr>
      <w:rPr>
        <w:rFonts w:hint="default"/>
      </w:rPr>
    </w:lvl>
    <w:lvl w:ilvl="4" w:tplc="EC2C1C0A">
      <w:start w:val="1"/>
      <w:numFmt w:val="bullet"/>
      <w:lvlText w:val="•"/>
      <w:lvlJc w:val="left"/>
      <w:pPr>
        <w:ind w:left="2438" w:hanging="272"/>
      </w:pPr>
      <w:rPr>
        <w:rFonts w:hint="default"/>
      </w:rPr>
    </w:lvl>
    <w:lvl w:ilvl="5" w:tplc="0234DE8C">
      <w:start w:val="1"/>
      <w:numFmt w:val="bullet"/>
      <w:lvlText w:val="•"/>
      <w:lvlJc w:val="left"/>
      <w:pPr>
        <w:ind w:left="2942" w:hanging="272"/>
      </w:pPr>
      <w:rPr>
        <w:rFonts w:hint="default"/>
      </w:rPr>
    </w:lvl>
    <w:lvl w:ilvl="6" w:tplc="298A0C66">
      <w:start w:val="1"/>
      <w:numFmt w:val="bullet"/>
      <w:lvlText w:val="•"/>
      <w:lvlJc w:val="left"/>
      <w:pPr>
        <w:ind w:left="3445" w:hanging="272"/>
      </w:pPr>
      <w:rPr>
        <w:rFonts w:hint="default"/>
      </w:rPr>
    </w:lvl>
    <w:lvl w:ilvl="7" w:tplc="0B3EB170">
      <w:start w:val="1"/>
      <w:numFmt w:val="bullet"/>
      <w:lvlText w:val="•"/>
      <w:lvlJc w:val="left"/>
      <w:pPr>
        <w:ind w:left="3949" w:hanging="272"/>
      </w:pPr>
      <w:rPr>
        <w:rFonts w:hint="default"/>
      </w:rPr>
    </w:lvl>
    <w:lvl w:ilvl="8" w:tplc="A16894E2">
      <w:start w:val="1"/>
      <w:numFmt w:val="bullet"/>
      <w:lvlText w:val="•"/>
      <w:lvlJc w:val="left"/>
      <w:pPr>
        <w:ind w:left="4453" w:hanging="272"/>
      </w:pPr>
      <w:rPr>
        <w:rFonts w:hint="default"/>
      </w:rPr>
    </w:lvl>
  </w:abstractNum>
  <w:abstractNum w:abstractNumId="6" w15:restartNumberingAfterBreak="0">
    <w:nsid w:val="716E6390"/>
    <w:multiLevelType w:val="hybridMultilevel"/>
    <w:tmpl w:val="92929054"/>
    <w:lvl w:ilvl="0" w:tplc="93E06BAE">
      <w:start w:val="1"/>
      <w:numFmt w:val="bullet"/>
      <w:lvlText w:val=""/>
      <w:lvlJc w:val="left"/>
      <w:pPr>
        <w:ind w:left="718" w:hanging="356"/>
      </w:pPr>
      <w:rPr>
        <w:rFonts w:ascii="Symbol" w:hAnsi="Symbol" w:hint="default"/>
        <w:b/>
        <w:bCs/>
        <w:sz w:val="18"/>
        <w:szCs w:val="18"/>
      </w:rPr>
    </w:lvl>
    <w:lvl w:ilvl="1" w:tplc="D64C9C54">
      <w:start w:val="1"/>
      <w:numFmt w:val="bullet"/>
      <w:lvlText w:val="•"/>
      <w:lvlJc w:val="left"/>
      <w:pPr>
        <w:ind w:left="1162" w:hanging="356"/>
      </w:pPr>
      <w:rPr>
        <w:rFonts w:hint="default"/>
      </w:rPr>
    </w:lvl>
    <w:lvl w:ilvl="2" w:tplc="D8A03146">
      <w:start w:val="1"/>
      <w:numFmt w:val="bullet"/>
      <w:lvlText w:val="•"/>
      <w:lvlJc w:val="left"/>
      <w:pPr>
        <w:ind w:left="1606" w:hanging="356"/>
      </w:pPr>
      <w:rPr>
        <w:rFonts w:hint="default"/>
      </w:rPr>
    </w:lvl>
    <w:lvl w:ilvl="3" w:tplc="CF0A4D60">
      <w:start w:val="1"/>
      <w:numFmt w:val="bullet"/>
      <w:lvlText w:val="•"/>
      <w:lvlJc w:val="left"/>
      <w:pPr>
        <w:ind w:left="2050" w:hanging="356"/>
      </w:pPr>
      <w:rPr>
        <w:rFonts w:hint="default"/>
      </w:rPr>
    </w:lvl>
    <w:lvl w:ilvl="4" w:tplc="D1068006">
      <w:start w:val="1"/>
      <w:numFmt w:val="bullet"/>
      <w:lvlText w:val="•"/>
      <w:lvlJc w:val="left"/>
      <w:pPr>
        <w:ind w:left="2494" w:hanging="356"/>
      </w:pPr>
      <w:rPr>
        <w:rFonts w:hint="default"/>
      </w:rPr>
    </w:lvl>
    <w:lvl w:ilvl="5" w:tplc="E20C6A5E">
      <w:start w:val="1"/>
      <w:numFmt w:val="bullet"/>
      <w:lvlText w:val="•"/>
      <w:lvlJc w:val="left"/>
      <w:pPr>
        <w:ind w:left="2938" w:hanging="356"/>
      </w:pPr>
      <w:rPr>
        <w:rFonts w:hint="default"/>
      </w:rPr>
    </w:lvl>
    <w:lvl w:ilvl="6" w:tplc="2C007F22">
      <w:start w:val="1"/>
      <w:numFmt w:val="bullet"/>
      <w:lvlText w:val="•"/>
      <w:lvlJc w:val="left"/>
      <w:pPr>
        <w:ind w:left="3382" w:hanging="356"/>
      </w:pPr>
      <w:rPr>
        <w:rFonts w:hint="default"/>
      </w:rPr>
    </w:lvl>
    <w:lvl w:ilvl="7" w:tplc="B9440030">
      <w:start w:val="1"/>
      <w:numFmt w:val="bullet"/>
      <w:lvlText w:val="•"/>
      <w:lvlJc w:val="left"/>
      <w:pPr>
        <w:ind w:left="3826" w:hanging="356"/>
      </w:pPr>
      <w:rPr>
        <w:rFonts w:hint="default"/>
      </w:rPr>
    </w:lvl>
    <w:lvl w:ilvl="8" w:tplc="A182976C">
      <w:start w:val="1"/>
      <w:numFmt w:val="bullet"/>
      <w:lvlText w:val="•"/>
      <w:lvlJc w:val="left"/>
      <w:pPr>
        <w:ind w:left="4270" w:hanging="356"/>
      </w:pPr>
      <w:rPr>
        <w:rFont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09"/>
    <w:rsid w:val="00006DED"/>
    <w:rsid w:val="00062074"/>
    <w:rsid w:val="00105EFE"/>
    <w:rsid w:val="001D177F"/>
    <w:rsid w:val="002A7108"/>
    <w:rsid w:val="00304195"/>
    <w:rsid w:val="00756A09"/>
    <w:rsid w:val="00BB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25B87CA-ACA4-4129-8D31-9C7589CE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4"/>
      <w:outlineLvl w:val="0"/>
    </w:pPr>
    <w:rPr>
      <w:rFonts w:ascii="Arial" w:eastAsia="Arial" w:hAnsi="Arial"/>
      <w:b/>
      <w:bCs/>
      <w:sz w:val="24"/>
      <w:szCs w:val="24"/>
    </w:rPr>
  </w:style>
  <w:style w:type="paragraph" w:styleId="Heading2">
    <w:name w:val="heading 2"/>
    <w:basedOn w:val="Normal"/>
    <w:uiPriority w:val="1"/>
    <w:qFormat/>
    <w:pPr>
      <w:ind w:left="152"/>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423" w:hanging="27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2074"/>
    <w:pPr>
      <w:tabs>
        <w:tab w:val="center" w:pos="4844"/>
        <w:tab w:val="right" w:pos="9689"/>
      </w:tabs>
    </w:pPr>
  </w:style>
  <w:style w:type="character" w:customStyle="1" w:styleId="HeaderChar">
    <w:name w:val="Header Char"/>
    <w:basedOn w:val="DefaultParagraphFont"/>
    <w:link w:val="Header"/>
    <w:uiPriority w:val="99"/>
    <w:rsid w:val="00062074"/>
  </w:style>
  <w:style w:type="paragraph" w:styleId="Footer">
    <w:name w:val="footer"/>
    <w:basedOn w:val="Normal"/>
    <w:link w:val="FooterChar"/>
    <w:uiPriority w:val="99"/>
    <w:unhideWhenUsed/>
    <w:rsid w:val="00062074"/>
    <w:pPr>
      <w:tabs>
        <w:tab w:val="center" w:pos="4844"/>
        <w:tab w:val="right" w:pos="9689"/>
      </w:tabs>
    </w:pPr>
  </w:style>
  <w:style w:type="character" w:customStyle="1" w:styleId="FooterChar">
    <w:name w:val="Footer Char"/>
    <w:basedOn w:val="DefaultParagraphFont"/>
    <w:link w:val="Footer"/>
    <w:uiPriority w:val="99"/>
    <w:rsid w:val="00062074"/>
  </w:style>
  <w:style w:type="paragraph" w:styleId="FootnoteText">
    <w:name w:val="footnote text"/>
    <w:basedOn w:val="Normal"/>
    <w:link w:val="FootnoteTextChar"/>
    <w:uiPriority w:val="99"/>
    <w:semiHidden/>
    <w:unhideWhenUsed/>
    <w:rsid w:val="00062074"/>
    <w:rPr>
      <w:sz w:val="20"/>
      <w:szCs w:val="20"/>
    </w:rPr>
  </w:style>
  <w:style w:type="character" w:customStyle="1" w:styleId="FootnoteTextChar">
    <w:name w:val="Footnote Text Char"/>
    <w:basedOn w:val="DefaultParagraphFont"/>
    <w:link w:val="FootnoteText"/>
    <w:uiPriority w:val="99"/>
    <w:semiHidden/>
    <w:rsid w:val="00062074"/>
    <w:rPr>
      <w:sz w:val="20"/>
      <w:szCs w:val="20"/>
    </w:rPr>
  </w:style>
  <w:style w:type="character" w:styleId="FootnoteReference">
    <w:name w:val="footnote reference"/>
    <w:basedOn w:val="DefaultParagraphFont"/>
    <w:uiPriority w:val="99"/>
    <w:semiHidden/>
    <w:unhideWhenUsed/>
    <w:rsid w:val="00062074"/>
    <w:rPr>
      <w:vertAlign w:val="superscript"/>
    </w:rPr>
  </w:style>
  <w:style w:type="character" w:styleId="Hyperlink">
    <w:name w:val="Hyperlink"/>
    <w:basedOn w:val="DefaultParagraphFont"/>
    <w:uiPriority w:val="99"/>
    <w:unhideWhenUsed/>
    <w:rsid w:val="00062074"/>
    <w:rPr>
      <w:color w:val="0000FF" w:themeColor="hyperlink"/>
      <w:u w:val="single"/>
    </w:rPr>
  </w:style>
  <w:style w:type="character" w:styleId="UnresolvedMention">
    <w:name w:val="Unresolved Mention"/>
    <w:basedOn w:val="DefaultParagraphFont"/>
    <w:uiPriority w:val="99"/>
    <w:semiHidden/>
    <w:unhideWhenUsed/>
    <w:rsid w:val="00062074"/>
    <w:rPr>
      <w:color w:val="808080"/>
      <w:shd w:val="clear" w:color="auto" w:fill="E6E6E6"/>
    </w:rPr>
  </w:style>
  <w:style w:type="paragraph" w:styleId="ListBullet">
    <w:name w:val="List Bullet"/>
    <w:basedOn w:val="Normal"/>
    <w:uiPriority w:val="99"/>
    <w:unhideWhenUsed/>
    <w:rsid w:val="00062074"/>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atistica.md/category.php?l=ro&amp;idc=452&am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www.statistica.md/category.php?l=ro&amp;amp;idc=452" TargetMode="External" /></Relationships>
</file>

<file path=word/_rels/footnotes.xml.rels><?xml version="1.0" encoding="UTF-8" standalone="yes"?>
<Relationships xmlns="http://schemas.openxmlformats.org/package/2006/relationships"><Relationship Id="rId1" Type="http://schemas.openxmlformats.org/officeDocument/2006/relationships/hyperlink" Target="http://www.transparency.md/2018/07/18/studiu-monitorizarea-implementarii-reformei-administratiei-publice-si-a-distributiei-resursel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D1A7-5580-CA45-B5EE-19410D0D069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Extras din CODUL PENAL (adoptat  prin Legea nr</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Extras din CODUL PENAL (adoptat  prin Legea nr</dc:title>
  <dc:creator>User</dc:creator>
  <cp:lastModifiedBy>vnegruta@yahoo.com</cp:lastModifiedBy>
  <cp:revision>2</cp:revision>
  <dcterms:created xsi:type="dcterms:W3CDTF">2018-08-08T12:29:00Z</dcterms:created>
  <dcterms:modified xsi:type="dcterms:W3CDTF">2018-08-08T12:29:00Z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LastSaved">
    <vt:filetime>2018-07-26T00:00:00Z</vt:filetime>
  </property>
  <property fmtid="{D5CDD505-2E9C-101B-9397-08002B2CF9AE}" pid="4" name="_AdHocReviewCycleID">
    <vt:i4>-181234734</vt:i4>
  </property>
  <property fmtid="{D5CDD505-2E9C-101B-9397-08002B2CF9AE}" pid="5" name="_NewReviewCycle">
    <vt:lpwstr/>
  </property>
  <property fmtid="{D5CDD505-2E9C-101B-9397-08002B2CF9AE}" pid="6" name="_EmailSubject">
    <vt:lpwstr>Negruta's comment abt the recent tax initiative</vt:lpwstr>
  </property>
  <property fmtid="{D5CDD505-2E9C-101B-9397-08002B2CF9AE}" pid="7" name="_AuthorEmail">
    <vt:lpwstr>NCulava@imf.org</vt:lpwstr>
  </property>
  <property fmtid="{D5CDD505-2E9C-101B-9397-08002B2CF9AE}" pid="8" name="_AuthorEmailDisplayName">
    <vt:lpwstr>Culava, Nicoleta</vt:lpwstr>
  </property>
</Properties>
</file>